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25" w:rsidRDefault="00506D25">
      <w:pPr>
        <w:pStyle w:val="a3"/>
        <w:jc w:val="center"/>
        <w:rPr>
          <w:rFonts w:eastAsia="仿宋_GB2312"/>
        </w:rPr>
      </w:pPr>
    </w:p>
    <w:p w:rsidR="00506D25" w:rsidRPr="00E93AFC" w:rsidRDefault="003D33A2">
      <w:pPr>
        <w:pStyle w:val="a3"/>
        <w:snapToGrid w:val="0"/>
        <w:jc w:val="center"/>
        <w:rPr>
          <w:rStyle w:val="aa"/>
          <w:rFonts w:ascii="方正小标宋简体" w:eastAsia="方正小标宋简体" w:hAnsi="方正小标宋_GBK" w:cs="方正小标宋_GBK" w:hint="eastAsia"/>
          <w:color w:val="auto"/>
          <w:sz w:val="44"/>
          <w:szCs w:val="44"/>
          <w:u w:val="none"/>
        </w:rPr>
      </w:pPr>
      <w:r w:rsidRPr="00E93AFC">
        <w:rPr>
          <w:rStyle w:val="aa"/>
          <w:rFonts w:ascii="方正小标宋简体" w:eastAsia="方正小标宋简体" w:hAnsi="方正小标宋_GBK" w:cs="方正小标宋_GBK" w:hint="eastAsia"/>
          <w:color w:val="auto"/>
          <w:sz w:val="44"/>
          <w:szCs w:val="44"/>
          <w:u w:val="none"/>
        </w:rPr>
        <w:t>天津市人民政府办公厅关于</w:t>
      </w:r>
      <w:r w:rsidRPr="00E93AFC">
        <w:rPr>
          <w:rStyle w:val="aa"/>
          <w:rFonts w:ascii="方正小标宋简体" w:eastAsia="方正小标宋简体" w:hAnsi="方正小标宋_GBK" w:cs="方正小标宋_GBK" w:hint="eastAsia"/>
          <w:color w:val="auto"/>
          <w:sz w:val="44"/>
          <w:szCs w:val="44"/>
          <w:u w:val="none"/>
        </w:rPr>
        <w:t>印发天津市</w:t>
      </w:r>
    </w:p>
    <w:p w:rsidR="00506D25" w:rsidRDefault="003D33A2">
      <w:pPr>
        <w:pStyle w:val="a3"/>
        <w:snapToGrid w:val="0"/>
        <w:jc w:val="center"/>
        <w:rPr>
          <w:rStyle w:val="aa"/>
          <w:rFonts w:ascii="方正小标宋_GBK" w:eastAsia="方正小标宋_GBK" w:hAnsi="方正小标宋_GBK" w:cs="方正小标宋_GBK"/>
          <w:color w:val="auto"/>
          <w:sz w:val="44"/>
          <w:szCs w:val="44"/>
          <w:u w:val="none"/>
        </w:rPr>
      </w:pPr>
      <w:r w:rsidRPr="00E93AFC">
        <w:rPr>
          <w:rStyle w:val="aa"/>
          <w:rFonts w:ascii="方正小标宋简体" w:eastAsia="方正小标宋简体" w:hAnsi="方正小标宋_GBK" w:cs="方正小标宋_GBK" w:hint="eastAsia"/>
          <w:color w:val="auto"/>
          <w:sz w:val="44"/>
          <w:szCs w:val="44"/>
          <w:u w:val="none"/>
        </w:rPr>
        <w:t>“十四五”规划实施中期评估工作方案</w:t>
      </w:r>
      <w:r w:rsidRPr="00E93AFC">
        <w:rPr>
          <w:rStyle w:val="aa"/>
          <w:rFonts w:ascii="方正小标宋简体" w:eastAsia="方正小标宋简体" w:hAnsi="方正小标宋_GBK" w:cs="方正小标宋_GBK" w:hint="eastAsia"/>
          <w:color w:val="auto"/>
          <w:sz w:val="44"/>
          <w:szCs w:val="44"/>
          <w:u w:val="none"/>
        </w:rPr>
        <w:t>的</w:t>
      </w:r>
      <w:r w:rsidRPr="00E93AFC">
        <w:rPr>
          <w:rStyle w:val="aa"/>
          <w:rFonts w:ascii="方正小标宋简体" w:eastAsia="方正小标宋简体" w:hAnsi="方正小标宋_GBK" w:cs="方正小标宋_GBK" w:hint="eastAsia"/>
          <w:color w:val="auto"/>
          <w:sz w:val="44"/>
          <w:szCs w:val="44"/>
          <w:u w:val="none"/>
        </w:rPr>
        <w:t>通知</w:t>
      </w:r>
    </w:p>
    <w:p w:rsidR="00506D25" w:rsidRDefault="00506D25">
      <w:pPr>
        <w:pStyle w:val="a3"/>
        <w:spacing w:line="520" w:lineRule="exact"/>
        <w:rPr>
          <w:rFonts w:eastAsia="仿宋_GB2312"/>
          <w:szCs w:val="32"/>
        </w:rPr>
      </w:pPr>
    </w:p>
    <w:p w:rsidR="00506D25" w:rsidRDefault="003D33A2">
      <w:pPr>
        <w:pStyle w:val="a3"/>
        <w:rPr>
          <w:rFonts w:ascii="仿宋_GB2312" w:eastAsia="仿宋_GB2312"/>
        </w:rPr>
      </w:pPr>
      <w:r>
        <w:rPr>
          <w:rFonts w:ascii="仿宋_GB2312" w:eastAsia="仿宋_GB2312" w:hint="eastAsia"/>
        </w:rPr>
        <w:t>各区人民政府，市政府各委、办、局：</w:t>
      </w:r>
    </w:p>
    <w:p w:rsidR="00506D25" w:rsidRDefault="003D33A2" w:rsidP="00E93AFC">
      <w:pPr>
        <w:pStyle w:val="a3"/>
        <w:ind w:firstLineChars="196" w:firstLine="610"/>
        <w:rPr>
          <w:rFonts w:eastAsia="仿宋_GB2312"/>
        </w:rPr>
      </w:pPr>
      <w:r>
        <w:rPr>
          <w:rFonts w:eastAsia="仿宋_GB2312"/>
        </w:rPr>
        <w:t>经市人民政府同意，现将《天津市</w:t>
      </w:r>
      <w:r>
        <w:rPr>
          <w:rFonts w:ascii="仿宋_GB2312" w:eastAsia="仿宋_GB2312" w:hAnsi="仿宋_GB2312" w:cs="仿宋_GB2312" w:hint="eastAsia"/>
        </w:rPr>
        <w:t>“十四五”</w:t>
      </w:r>
      <w:r>
        <w:rPr>
          <w:rFonts w:eastAsia="仿宋_GB2312"/>
        </w:rPr>
        <w:t>规划实施中期评估工作方案的通知》印发给你们，</w:t>
      </w:r>
      <w:r>
        <w:rPr>
          <w:rFonts w:eastAsia="仿宋_GB2312"/>
        </w:rPr>
        <w:t>请照此执行。</w:t>
      </w:r>
    </w:p>
    <w:p w:rsidR="00506D25" w:rsidRDefault="00506D25">
      <w:pPr>
        <w:pStyle w:val="a3"/>
        <w:rPr>
          <w:rFonts w:eastAsia="仿宋_GB2312"/>
        </w:rPr>
      </w:pPr>
    </w:p>
    <w:p w:rsidR="00506D25" w:rsidRDefault="00E93AFC" w:rsidP="00E93AFC">
      <w:pPr>
        <w:pStyle w:val="a3"/>
        <w:ind w:firstLineChars="1300" w:firstLine="4043"/>
        <w:rPr>
          <w:rFonts w:eastAsia="仿宋_GB2312"/>
        </w:rPr>
      </w:pPr>
      <w:r w:rsidRPr="00E93AFC">
        <w:rPr>
          <w:rFonts w:eastAsia="仿宋_GB2312" w:hint="eastAsia"/>
        </w:rPr>
        <w:t>天津市人民政府办公厅</w:t>
      </w:r>
    </w:p>
    <w:p w:rsidR="00506D25" w:rsidRDefault="003D33A2" w:rsidP="00E93AFC">
      <w:pPr>
        <w:pStyle w:val="a3"/>
        <w:ind w:firstLineChars="1400" w:firstLine="4354"/>
        <w:rPr>
          <w:rFonts w:eastAsia="仿宋_GB2312"/>
        </w:rPr>
      </w:pPr>
      <w:bookmarkStart w:id="0" w:name="_GoBack"/>
      <w:bookmarkEnd w:id="0"/>
      <w:r>
        <w:rPr>
          <w:rFonts w:eastAsia="仿宋_GB2312" w:hint="eastAsia"/>
        </w:rPr>
        <w:t>202</w:t>
      </w:r>
      <w:r>
        <w:rPr>
          <w:rFonts w:eastAsia="仿宋_GB2312"/>
        </w:rPr>
        <w:t>3</w:t>
      </w:r>
      <w:r>
        <w:rPr>
          <w:rFonts w:eastAsia="仿宋_GB2312" w:hint="eastAsia"/>
        </w:rPr>
        <w:t>年</w:t>
      </w:r>
      <w:r>
        <w:rPr>
          <w:rFonts w:eastAsia="仿宋_GB2312"/>
        </w:rPr>
        <w:t>3</w:t>
      </w:r>
      <w:r>
        <w:rPr>
          <w:rFonts w:eastAsia="仿宋_GB2312" w:hint="eastAsia"/>
        </w:rPr>
        <w:t>月</w:t>
      </w:r>
      <w:r>
        <w:rPr>
          <w:rFonts w:eastAsia="仿宋_GB2312"/>
        </w:rPr>
        <w:t>10</w:t>
      </w:r>
      <w:r>
        <w:rPr>
          <w:rFonts w:eastAsia="仿宋_GB2312" w:hint="eastAsia"/>
        </w:rPr>
        <w:t>日</w:t>
      </w:r>
      <w:r>
        <w:rPr>
          <w:rFonts w:eastAsia="仿宋_GB2312" w:hint="eastAsia"/>
        </w:rPr>
        <w:t xml:space="preserve">        </w:t>
      </w:r>
    </w:p>
    <w:p w:rsidR="00506D25" w:rsidRDefault="003D33A2" w:rsidP="00E93AFC">
      <w:pPr>
        <w:pStyle w:val="a3"/>
        <w:ind w:firstLineChars="200" w:firstLine="622"/>
        <w:rPr>
          <w:rFonts w:eastAsia="仿宋_GB2312"/>
        </w:rPr>
      </w:pPr>
      <w:r>
        <w:rPr>
          <w:rFonts w:eastAsia="仿宋_GB2312" w:hint="eastAsia"/>
        </w:rPr>
        <w:t>（此件主动公开）</w:t>
      </w:r>
    </w:p>
    <w:p w:rsidR="00506D25" w:rsidRDefault="00506D25">
      <w:pPr>
        <w:pStyle w:val="a3"/>
        <w:rPr>
          <w:rFonts w:eastAsia="仿宋_GB2312"/>
        </w:rPr>
        <w:sectPr w:rsidR="00506D25">
          <w:headerReference w:type="default" r:id="rId9"/>
          <w:footerReference w:type="even" r:id="rId10"/>
          <w:footerReference w:type="default" r:id="rId11"/>
          <w:headerReference w:type="first" r:id="rId12"/>
          <w:footerReference w:type="first" r:id="rId13"/>
          <w:pgSz w:w="11907" w:h="16840"/>
          <w:pgMar w:top="2098" w:right="1474" w:bottom="1984" w:left="1587" w:header="851" w:footer="1701" w:gutter="0"/>
          <w:cols w:space="720"/>
          <w:titlePg/>
          <w:docGrid w:type="linesAndChars" w:linePitch="289" w:charSpace="-1839"/>
        </w:sectPr>
      </w:pPr>
    </w:p>
    <w:p w:rsidR="00506D25" w:rsidRPr="00E93AFC" w:rsidRDefault="003D33A2">
      <w:pPr>
        <w:pStyle w:val="a3"/>
        <w:adjustRightInd w:val="0"/>
        <w:snapToGrid w:val="0"/>
        <w:jc w:val="center"/>
        <w:rPr>
          <w:rFonts w:ascii="方正小标宋简体" w:eastAsia="方正小标宋简体" w:hAnsi="方正小标宋_GBK" w:cs="方正小标宋_GBK" w:hint="eastAsia"/>
          <w:sz w:val="44"/>
          <w:szCs w:val="44"/>
        </w:rPr>
      </w:pPr>
      <w:r w:rsidRPr="00E93AFC">
        <w:rPr>
          <w:rFonts w:ascii="方正小标宋简体" w:eastAsia="方正小标宋简体" w:hAnsi="方正小标宋_GBK" w:cs="方正小标宋_GBK" w:hint="eastAsia"/>
          <w:sz w:val="44"/>
          <w:szCs w:val="44"/>
        </w:rPr>
        <w:lastRenderedPageBreak/>
        <w:t>天津市“十四五”规划实施中期评估工作方案</w:t>
      </w:r>
    </w:p>
    <w:p w:rsidR="00506D25" w:rsidRDefault="00506D25">
      <w:pPr>
        <w:pStyle w:val="a3"/>
        <w:rPr>
          <w:rFonts w:eastAsia="仿宋_GB2312"/>
        </w:rPr>
      </w:pPr>
    </w:p>
    <w:p w:rsidR="00506D25" w:rsidRDefault="003D33A2" w:rsidP="00E93AFC">
      <w:pPr>
        <w:pStyle w:val="a3"/>
        <w:ind w:firstLineChars="200" w:firstLine="622"/>
        <w:rPr>
          <w:rFonts w:eastAsia="仿宋_GB2312"/>
        </w:rPr>
      </w:pPr>
      <w:r>
        <w:rPr>
          <w:rFonts w:eastAsia="仿宋_GB2312" w:hint="eastAsia"/>
        </w:rPr>
        <w:t>2023</w:t>
      </w:r>
      <w:r>
        <w:rPr>
          <w:rFonts w:eastAsia="仿宋_GB2312" w:hint="eastAsia"/>
        </w:rPr>
        <w:t>年是全面贯彻落实党的二十大精神的开局之年，是实施“十四五”规划承</w:t>
      </w:r>
      <w:r>
        <w:rPr>
          <w:rFonts w:eastAsia="仿宋_GB2312" w:hint="eastAsia"/>
        </w:rPr>
        <w:t>前</w:t>
      </w:r>
      <w:r>
        <w:rPr>
          <w:rFonts w:eastAsia="仿宋_GB2312" w:hint="eastAsia"/>
        </w:rPr>
        <w:t>启</w:t>
      </w:r>
      <w:r>
        <w:rPr>
          <w:rFonts w:eastAsia="仿宋_GB2312" w:hint="eastAsia"/>
        </w:rPr>
        <w:t>后</w:t>
      </w:r>
      <w:r>
        <w:rPr>
          <w:rFonts w:eastAsia="仿宋_GB2312" w:hint="eastAsia"/>
        </w:rPr>
        <w:t>的关键一年，也是为全面建设社会主义现代化大都市奠定基础的重要一年。按照《中华人民共和国各级人民代表大会常务委员会监督法》</w:t>
      </w:r>
      <w:r>
        <w:rPr>
          <w:rFonts w:eastAsia="仿宋_GB2312" w:hint="eastAsia"/>
        </w:rPr>
        <w:t>、</w:t>
      </w:r>
      <w:r>
        <w:rPr>
          <w:rFonts w:eastAsia="仿宋_GB2312" w:hint="eastAsia"/>
        </w:rPr>
        <w:t>《国家发展改革委关于开展“十四五”规划实施中期评估工作的通知》（发改规划〔</w:t>
      </w:r>
      <w:r>
        <w:rPr>
          <w:rFonts w:eastAsia="仿宋_GB2312" w:hint="eastAsia"/>
        </w:rPr>
        <w:t>2023</w:t>
      </w:r>
      <w:r>
        <w:rPr>
          <w:rFonts w:eastAsia="仿宋_GB2312" w:hint="eastAsia"/>
        </w:rPr>
        <w:t>〕</w:t>
      </w:r>
      <w:r>
        <w:rPr>
          <w:rFonts w:eastAsia="仿宋_GB2312" w:hint="eastAsia"/>
        </w:rPr>
        <w:t>153</w:t>
      </w:r>
      <w:r>
        <w:rPr>
          <w:rFonts w:eastAsia="仿宋_GB2312" w:hint="eastAsia"/>
        </w:rPr>
        <w:t>号）和《天津市人民政府关于印发天津市国民经济和社会发展第十四个五年规划和二〇三五年远景目标纲要的通知》（</w:t>
      </w:r>
      <w:r>
        <w:rPr>
          <w:rFonts w:eastAsia="仿宋_GB2312" w:hint="eastAsia"/>
        </w:rPr>
        <w:t>津政发〔</w:t>
      </w:r>
      <w:r>
        <w:rPr>
          <w:rFonts w:eastAsia="仿宋_GB2312" w:hint="eastAsia"/>
        </w:rPr>
        <w:t>2021</w:t>
      </w:r>
      <w:r>
        <w:rPr>
          <w:rFonts w:eastAsia="仿宋_GB2312" w:hint="eastAsia"/>
        </w:rPr>
        <w:t>〕</w:t>
      </w:r>
      <w:r>
        <w:rPr>
          <w:rFonts w:eastAsia="仿宋_GB2312" w:hint="eastAsia"/>
        </w:rPr>
        <w:t>5</w:t>
      </w:r>
      <w:r>
        <w:rPr>
          <w:rFonts w:eastAsia="仿宋_GB2312" w:hint="eastAsia"/>
        </w:rPr>
        <w:t>号，以下简称“十四五”规划纲要）、《关于落实〈天津市国民经济和社会发展第十四个五年规划和二〇三五年远景目标纲要〉主要目标和重点任务分工的通知》要求，为做好</w:t>
      </w:r>
      <w:r>
        <w:rPr>
          <w:rFonts w:eastAsia="仿宋_GB2312" w:hint="eastAsia"/>
        </w:rPr>
        <w:t>规划实施</w:t>
      </w:r>
      <w:r>
        <w:rPr>
          <w:rFonts w:eastAsia="仿宋_GB2312" w:hint="eastAsia"/>
        </w:rPr>
        <w:t>中期评估工作，制定本方案。</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一、总体要求</w:t>
      </w:r>
    </w:p>
    <w:p w:rsidR="00506D25" w:rsidRDefault="003D33A2" w:rsidP="00E93AFC">
      <w:pPr>
        <w:pStyle w:val="a3"/>
        <w:ind w:firstLineChars="200" w:firstLine="622"/>
        <w:rPr>
          <w:rFonts w:eastAsia="仿宋_GB2312"/>
        </w:rPr>
      </w:pPr>
      <w:r>
        <w:rPr>
          <w:rFonts w:eastAsia="仿宋_GB2312" w:hint="eastAsia"/>
        </w:rPr>
        <w:t>坚持以习近平新时代中国特色社会主义思想为指导，全面贯彻党的二十大精神，深入</w:t>
      </w:r>
      <w:r>
        <w:rPr>
          <w:rFonts w:eastAsia="仿宋_GB2312" w:hint="eastAsia"/>
        </w:rPr>
        <w:t>贯彻</w:t>
      </w:r>
      <w:r>
        <w:rPr>
          <w:rFonts w:eastAsia="仿宋_GB2312" w:hint="eastAsia"/>
        </w:rPr>
        <w:t>落实习近平总书记对天津工作“三个着力”重要要求和一系列重要指示批示精神，</w:t>
      </w:r>
      <w:r>
        <w:rPr>
          <w:rFonts w:eastAsia="仿宋_GB2312" w:hint="eastAsia"/>
        </w:rPr>
        <w:t>认真贯彻落实</w:t>
      </w:r>
      <w:r>
        <w:rPr>
          <w:rFonts w:eastAsia="仿宋_GB2312" w:hint="eastAsia"/>
        </w:rPr>
        <w:t>市第十二次党代会和市委十二届二次全会要求</w:t>
      </w:r>
      <w:r>
        <w:rPr>
          <w:rFonts w:eastAsia="仿宋_GB2312" w:hint="eastAsia"/>
        </w:rPr>
        <w:t>，</w:t>
      </w:r>
      <w:r>
        <w:rPr>
          <w:rFonts w:eastAsia="仿宋_GB2312" w:hint="eastAsia"/>
        </w:rPr>
        <w:t>完整、准确、全面贯彻新发展理念，积极服务和融入构建新发展格局，着力推动高质量发展，遵循系统全面、突出重点、远近结合、科学严谨、实事求是的原则，全面评估“十四五”规划实施情况，客观评价规划实施取得的进展成效，精准找出落实“十四五”规划的难点堵点，提出下一步改进规划实施的对策建议，把中期评估的成果转化为推动全市经济社会发展的具体思路和举措，</w:t>
      </w:r>
      <w:r>
        <w:rPr>
          <w:rFonts w:eastAsia="仿宋_GB2312" w:hint="eastAsia"/>
        </w:rPr>
        <w:t>奋力开创</w:t>
      </w:r>
      <w:r>
        <w:rPr>
          <w:rFonts w:eastAsia="仿宋_GB2312" w:hint="eastAsia"/>
        </w:rPr>
        <w:t>全面建设社会主义现代化大都市新</w:t>
      </w:r>
      <w:r>
        <w:rPr>
          <w:rFonts w:eastAsia="仿宋_GB2312" w:hint="eastAsia"/>
        </w:rPr>
        <w:t>局面</w:t>
      </w:r>
      <w:r>
        <w:rPr>
          <w:rFonts w:eastAsia="仿宋_GB2312" w:hint="eastAsia"/>
        </w:rPr>
        <w:t>。</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二、评估重点</w:t>
      </w:r>
    </w:p>
    <w:p w:rsidR="00506D25" w:rsidRDefault="003D33A2" w:rsidP="00E93AFC">
      <w:pPr>
        <w:pStyle w:val="a3"/>
        <w:ind w:firstLineChars="200" w:firstLine="622"/>
        <w:rPr>
          <w:rFonts w:eastAsia="仿宋_GB2312"/>
          <w:spacing w:val="-2"/>
        </w:rPr>
      </w:pPr>
      <w:r>
        <w:rPr>
          <w:rFonts w:eastAsia="仿宋_GB2312" w:hint="eastAsia"/>
        </w:rPr>
        <w:t>开展“十四五”规划</w:t>
      </w:r>
      <w:r>
        <w:rPr>
          <w:rFonts w:eastAsia="仿宋_GB2312" w:hint="eastAsia"/>
        </w:rPr>
        <w:t>实施</w:t>
      </w:r>
      <w:r>
        <w:rPr>
          <w:rFonts w:eastAsia="仿宋_GB2312" w:hint="eastAsia"/>
        </w:rPr>
        <w:t>中期评估，要在全面贯彻党的二十</w:t>
      </w:r>
      <w:r>
        <w:rPr>
          <w:rFonts w:eastAsia="仿宋_GB2312" w:hint="eastAsia"/>
          <w:spacing w:val="-2"/>
        </w:rPr>
        <w:t>大精神的基础上，坚持问题导向和系统观念，按照着力推动高质量发展</w:t>
      </w:r>
      <w:r>
        <w:rPr>
          <w:rFonts w:eastAsia="仿宋_GB2312" w:hint="eastAsia"/>
          <w:spacing w:val="-2"/>
        </w:rPr>
        <w:t>的要求，重点评估完整、准确、全面贯彻新发展理念，转变发展方式、深化改革开放、畅通经济循环，积极服务和融入构建新发展格局的进展情况，聚焦主要目标指标完成情况，重大战略任务、重大改革举措、重大工程项目推进情况等方面，总结成绩、查找短板、分析原因、提出对策，注重挖掘深层次矛盾和风险隐患，及时发现新情况新问题，研究提出进一步推动规划实施的对策建议。</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三、评估方式方法</w:t>
      </w:r>
    </w:p>
    <w:p w:rsidR="00506D25" w:rsidRDefault="003D33A2" w:rsidP="00E93AFC">
      <w:pPr>
        <w:pStyle w:val="a3"/>
        <w:ind w:firstLineChars="200" w:firstLine="622"/>
        <w:rPr>
          <w:rFonts w:eastAsia="仿宋_GB2312"/>
          <w:spacing w:val="-2"/>
        </w:rPr>
      </w:pPr>
      <w:r>
        <w:rPr>
          <w:rFonts w:eastAsia="仿宋_GB2312" w:hint="eastAsia"/>
        </w:rPr>
        <w:t>为全面准确掌握“十四五”规划实施进展情况，客观反映社</w:t>
      </w:r>
      <w:r>
        <w:rPr>
          <w:rFonts w:eastAsia="仿宋_GB2312" w:hint="eastAsia"/>
          <w:spacing w:val="-2"/>
        </w:rPr>
        <w:t>会各界对规划实施的意见建议，需要多主体、多维度开展评估，在评估主体、评估形式、评估流程、评估标准等方面加大创新力度。</w:t>
      </w:r>
    </w:p>
    <w:p w:rsidR="00506D25" w:rsidRDefault="003D33A2" w:rsidP="00E93AFC">
      <w:pPr>
        <w:pStyle w:val="a3"/>
        <w:ind w:firstLineChars="200" w:firstLine="622"/>
        <w:rPr>
          <w:rFonts w:eastAsia="仿宋_GB2312"/>
          <w:spacing w:val="-2"/>
        </w:rPr>
      </w:pPr>
      <w:r>
        <w:rPr>
          <w:rFonts w:ascii="楷体_GB2312" w:eastAsia="楷体_GB2312" w:hAnsi="楷体_GB2312" w:cs="楷体_GB2312" w:hint="eastAsia"/>
        </w:rPr>
        <w:t>（一）自评估和第三方评估相结合。</w:t>
      </w:r>
      <w:r>
        <w:rPr>
          <w:rFonts w:eastAsia="仿宋_GB2312" w:hint="eastAsia"/>
          <w:spacing w:val="-2"/>
        </w:rPr>
        <w:t>坚持以政府系统自评估为主，持续推进评估工作的规范化、科学化、系统化，深入开展实地调研，深化重大问题研究，不断提升自评估的质量。同时，采取定向委托或公开招标等形式，选择知名研究机构、评估咨询机构、高校等开展第三方评估，将第三方评估结果作为自评估的重要参考。</w:t>
      </w:r>
    </w:p>
    <w:p w:rsidR="00506D25" w:rsidRDefault="003D33A2" w:rsidP="00E93AFC">
      <w:pPr>
        <w:pStyle w:val="a3"/>
        <w:ind w:firstLineChars="200" w:firstLine="622"/>
        <w:rPr>
          <w:rFonts w:eastAsia="仿宋_GB2312"/>
          <w:spacing w:val="-2"/>
        </w:rPr>
      </w:pPr>
      <w:r>
        <w:rPr>
          <w:rFonts w:ascii="楷体_GB2312" w:eastAsia="楷体_GB2312" w:hAnsi="楷体_GB2312" w:cs="楷体_GB2312" w:hint="eastAsia"/>
        </w:rPr>
        <w:t>（二）综合评估和专题评估相结合。</w:t>
      </w:r>
      <w:r>
        <w:rPr>
          <w:rFonts w:eastAsia="仿宋_GB2312" w:hint="eastAsia"/>
          <w:spacing w:val="-2"/>
        </w:rPr>
        <w:t>着眼于统筹推进“五位一体”总体布局、协调推进“四个全面”战略布局在天津的实</w:t>
      </w:r>
      <w:r>
        <w:rPr>
          <w:rFonts w:eastAsia="仿宋_GB2312" w:hint="eastAsia"/>
          <w:spacing w:val="-2"/>
        </w:rPr>
        <w:t>施情况，深入开展综合性、系统性评估。同时，围绕贯彻落实党的二十大精神和市第十二次党代会部署，选取一些重大专题开展专题评估。</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（三）目标导向和问题导向相结合。</w:t>
      </w:r>
      <w:r>
        <w:rPr>
          <w:rFonts w:eastAsia="仿宋_GB2312" w:hint="eastAsia"/>
        </w:rPr>
        <w:t>从“十四五”规划纲要确定的目标任务倒推，逐项对照进度要求，发现问题，提出确保目标实现的对策建议。同时，从迫切需要解决的各领域各环节问题顺推，明确破解难题的路径和办法，防范化解风险隐患。</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（四）过程评估和效果评估相结合。</w:t>
      </w:r>
      <w:r>
        <w:rPr>
          <w:rFonts w:eastAsia="仿宋_GB2312" w:hint="eastAsia"/>
        </w:rPr>
        <w:t>既要综合运用文献梳理、调研访谈等方式，评估围绕主要目标、重点任务以及重大工程项目实施所开展的主要工作、采取的具体措施及落实情况；更要强化前</w:t>
      </w:r>
      <w:r>
        <w:rPr>
          <w:rFonts w:eastAsia="仿宋_GB2312" w:hint="eastAsia"/>
        </w:rPr>
        <w:t>后情景对照</w:t>
      </w:r>
      <w:r>
        <w:rPr>
          <w:rFonts w:eastAsia="仿宋_GB2312" w:hint="eastAsia"/>
        </w:rPr>
        <w:t>、成本收益分析</w:t>
      </w:r>
      <w:r>
        <w:rPr>
          <w:rFonts w:eastAsia="仿宋_GB2312" w:hint="eastAsia"/>
        </w:rPr>
        <w:t>，加强对规划实施所取得的实际成效、人民满意程度以及中长期发展影响等的评估。</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（五）标准化与个性化相结合。</w:t>
      </w:r>
      <w:r>
        <w:rPr>
          <w:rFonts w:eastAsia="仿宋_GB2312" w:hint="eastAsia"/>
        </w:rPr>
        <w:t>既对各项工作的进展成效、质量效益、经验做法、存在问题、发展态势进行规范化、格式化评估；又结合不同领域的实际情况，采取个性化评估方法，避免简单套用同一种程序、机械使用同一个标准。</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（六）客观评价和主观感受相结合。</w:t>
      </w:r>
      <w:r>
        <w:rPr>
          <w:rFonts w:eastAsia="仿宋_GB2312" w:hint="eastAsia"/>
        </w:rPr>
        <w:t>既要掌握各项目标任务进展，做好定性评价和定量分析，客观反映规划实施情况；又要将人民群众的切身体会作为重要评价标准，运用大数据分析，开展问卷调查，广泛听取社会各方面的意见建议。</w:t>
      </w:r>
      <w:r>
        <w:rPr>
          <w:rFonts w:eastAsia="仿宋_GB2312" w:hint="eastAsia"/>
        </w:rPr>
        <w:t>同时，召开座谈会，听取各领域专家意见建议。</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四、分工安排</w:t>
      </w:r>
    </w:p>
    <w:p w:rsidR="00506D25" w:rsidRDefault="003D33A2" w:rsidP="00E93AFC">
      <w:pPr>
        <w:pStyle w:val="a3"/>
        <w:ind w:firstLineChars="200" w:firstLine="622"/>
        <w:rPr>
          <w:rFonts w:eastAsia="仿宋_GB2312"/>
        </w:rPr>
      </w:pPr>
      <w:r>
        <w:rPr>
          <w:rFonts w:eastAsia="仿宋_GB2312" w:hint="eastAsia"/>
        </w:rPr>
        <w:t>“十四五”规划实施中期评估工作，由市发展改革委牵头组织协调，各区、各部门按照职能分工共同推进。</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（一）国家“十四五”规划纲要</w:t>
      </w:r>
      <w:r>
        <w:rPr>
          <w:rFonts w:ascii="楷体_GB2312" w:eastAsia="楷体_GB2312" w:hAnsi="楷体_GB2312" w:cs="楷体_GB2312" w:hint="eastAsia"/>
        </w:rPr>
        <w:t>实施进展</w:t>
      </w:r>
      <w:r>
        <w:rPr>
          <w:rFonts w:ascii="楷体_GB2312" w:eastAsia="楷体_GB2312" w:hAnsi="楷体_GB2312" w:cs="楷体_GB2312" w:hint="eastAsia"/>
        </w:rPr>
        <w:t>评估。</w:t>
      </w:r>
      <w:r>
        <w:rPr>
          <w:rFonts w:eastAsia="仿宋_GB2312" w:hint="eastAsia"/>
        </w:rPr>
        <w:t>按照国家发展改革委要求，对我市推进落实国家“十四五”规划纲要明确的重大战略任务、重大改革举措、重大工程项目等情况进行全面评估，市发展改革委在各区、各部门专题报告的基础上，形成天津市评估报告报送国家发展改革委。</w:t>
      </w:r>
    </w:p>
    <w:p w:rsidR="00506D25" w:rsidRDefault="003D33A2" w:rsidP="00E93AFC">
      <w:pPr>
        <w:pStyle w:val="a3"/>
        <w:ind w:firstLineChars="200" w:firstLine="622"/>
        <w:rPr>
          <w:rFonts w:eastAsia="仿宋_GB2312"/>
          <w:spacing w:val="-2"/>
        </w:rPr>
      </w:pPr>
      <w:r>
        <w:rPr>
          <w:rFonts w:ascii="楷体_GB2312" w:eastAsia="楷体_GB2312" w:hAnsi="楷体_GB2312" w:cs="楷体_GB2312" w:hint="eastAsia"/>
        </w:rPr>
        <w:t>（二）全市“十四五”规划纲要</w:t>
      </w:r>
      <w:r>
        <w:rPr>
          <w:rFonts w:ascii="楷体_GB2312" w:eastAsia="楷体_GB2312" w:hAnsi="楷体_GB2312" w:cs="楷体_GB2312" w:hint="eastAsia"/>
        </w:rPr>
        <w:t>实施进展</w:t>
      </w:r>
      <w:r>
        <w:rPr>
          <w:rFonts w:ascii="楷体_GB2312" w:eastAsia="楷体_GB2312" w:hAnsi="楷体_GB2312" w:cs="楷体_GB2312" w:hint="eastAsia"/>
        </w:rPr>
        <w:t>评估。</w:t>
      </w:r>
      <w:r>
        <w:rPr>
          <w:rFonts w:eastAsia="仿宋_GB2312" w:hint="eastAsia"/>
        </w:rPr>
        <w:t>各区、各部门按照纲要分工方案明确的既定分工，对各自负责的相关领域</w:t>
      </w:r>
      <w:r>
        <w:rPr>
          <w:rFonts w:eastAsia="仿宋_GB2312" w:hint="eastAsia"/>
        </w:rPr>
        <w:t>目标指标、重点任务、重大工程项目进展情况及工作成效进行全面评估，其中</w:t>
      </w:r>
      <w:r>
        <w:rPr>
          <w:rFonts w:eastAsia="仿宋_GB2312" w:hint="eastAsia"/>
        </w:rPr>
        <w:t>25</w:t>
      </w:r>
      <w:r>
        <w:rPr>
          <w:rFonts w:eastAsia="仿宋_GB2312" w:hint="eastAsia"/>
        </w:rPr>
        <w:t>个主要指标、</w:t>
      </w:r>
      <w:r>
        <w:rPr>
          <w:rFonts w:eastAsia="仿宋_GB2312" w:hint="eastAsia"/>
        </w:rPr>
        <w:t>13</w:t>
      </w:r>
      <w:r>
        <w:rPr>
          <w:rFonts w:eastAsia="仿宋_GB2312" w:hint="eastAsia"/>
        </w:rPr>
        <w:t>个章节涉及指标及专栏提到的重大</w:t>
      </w:r>
      <w:r>
        <w:rPr>
          <w:rFonts w:eastAsia="仿宋_GB2312" w:hint="eastAsia"/>
          <w:spacing w:val="-2"/>
        </w:rPr>
        <w:t>工程项目需提供实现进度、预期展望及相关说明，一并形成专题评估报告，送市发展改革委。市发展改革委在各区、各部门专题报告的基础上，起草天津市“十四五”规划</w:t>
      </w:r>
      <w:r>
        <w:rPr>
          <w:rFonts w:eastAsia="仿宋_GB2312" w:hint="eastAsia"/>
          <w:spacing w:val="-2"/>
        </w:rPr>
        <w:t>纲要</w:t>
      </w:r>
      <w:r>
        <w:rPr>
          <w:rFonts w:eastAsia="仿宋_GB2312" w:hint="eastAsia"/>
          <w:spacing w:val="-2"/>
        </w:rPr>
        <w:t>实施中期评估报告，</w:t>
      </w:r>
      <w:r>
        <w:rPr>
          <w:rFonts w:eastAsia="仿宋_GB2312" w:hint="eastAsia"/>
          <w:spacing w:val="-2"/>
        </w:rPr>
        <w:t>9</w:t>
      </w:r>
      <w:r>
        <w:rPr>
          <w:rFonts w:eastAsia="仿宋_GB2312" w:hint="eastAsia"/>
          <w:spacing w:val="-2"/>
        </w:rPr>
        <w:t>月底前按照程序上报市</w:t>
      </w:r>
      <w:r>
        <w:rPr>
          <w:rFonts w:eastAsia="仿宋_GB2312" w:hint="eastAsia"/>
          <w:spacing w:val="-2"/>
        </w:rPr>
        <w:t>人民</w:t>
      </w:r>
      <w:r>
        <w:rPr>
          <w:rFonts w:eastAsia="仿宋_GB2312" w:hint="eastAsia"/>
          <w:spacing w:val="-2"/>
        </w:rPr>
        <w:t>政府审核后，提交市人大常委会审议。</w:t>
      </w:r>
    </w:p>
    <w:p w:rsidR="00506D25" w:rsidRDefault="003D33A2" w:rsidP="00E93AFC">
      <w:pPr>
        <w:pStyle w:val="a3"/>
        <w:ind w:firstLineChars="200" w:firstLine="622"/>
        <w:rPr>
          <w:rFonts w:eastAsia="仿宋_GB2312"/>
          <w:spacing w:val="-2"/>
        </w:rPr>
      </w:pPr>
      <w:r>
        <w:rPr>
          <w:rFonts w:ascii="楷体_GB2312" w:eastAsia="楷体_GB2312" w:hAnsi="楷体_GB2312" w:cs="楷体_GB2312" w:hint="eastAsia"/>
        </w:rPr>
        <w:t>（三）市级专项规划</w:t>
      </w:r>
      <w:r>
        <w:rPr>
          <w:rFonts w:ascii="楷体_GB2312" w:eastAsia="楷体_GB2312" w:hAnsi="楷体_GB2312" w:cs="楷体_GB2312" w:hint="eastAsia"/>
        </w:rPr>
        <w:t>实施进展</w:t>
      </w:r>
      <w:r>
        <w:rPr>
          <w:rFonts w:ascii="楷体_GB2312" w:eastAsia="楷体_GB2312" w:hAnsi="楷体_GB2312" w:cs="楷体_GB2312" w:hint="eastAsia"/>
        </w:rPr>
        <w:t>评估。</w:t>
      </w:r>
      <w:r>
        <w:rPr>
          <w:rFonts w:eastAsia="仿宋_GB2312" w:hint="eastAsia"/>
        </w:rPr>
        <w:t>各市级专项规划牵头部门要组织对《天津市“十四五”市级专项规划编制目录清单》（</w:t>
      </w:r>
      <w:r>
        <w:rPr>
          <w:rFonts w:eastAsia="仿宋_GB2312" w:hint="eastAsia"/>
        </w:rPr>
        <w:t>附件</w:t>
      </w:r>
      <w:r>
        <w:rPr>
          <w:rFonts w:eastAsia="仿宋_GB2312" w:hint="eastAsia"/>
        </w:rPr>
        <w:t>1</w:t>
      </w:r>
      <w:r>
        <w:rPr>
          <w:rFonts w:eastAsia="仿宋_GB2312" w:hint="eastAsia"/>
        </w:rPr>
        <w:t>）内的专项规划、其他由市委市政府印发的专项规划、经市人民政府批复或同意后由部门印发的市级专项规划实施情况进行中期评估，形成评估报告。其中，《天津市“十四五”市级专项规划编制目录清单》内的专项规划要研究制定中期评估方案，明确评估方式、主要工作节点及评估成果等，并对全市“十四五”规划纲要相关领域目标任务情况进行重点评估。涉及规划相关内容调整和修订的，须以专门章节对原因和调整方案予以说明。市发展改革委与牵头部门加强沟通合作，通过联合调研、交流研讨、报送专题信息等方式参与《天津市“十四五”市级专项规划编制目录清单》</w:t>
      </w:r>
      <w:r>
        <w:rPr>
          <w:rFonts w:eastAsia="仿宋_GB2312" w:hint="eastAsia"/>
        </w:rPr>
        <w:t>内专项规划评估工作。其他市级专项规划要制定切实可</w:t>
      </w:r>
      <w:r>
        <w:rPr>
          <w:rFonts w:eastAsia="仿宋_GB2312" w:hint="eastAsia"/>
          <w:spacing w:val="-2"/>
        </w:rPr>
        <w:t>行、科学合理的评估方案，深入有序组织开展评估工作。形成评估报告后，应完成征求意见等相关程序，报市发展改革委出具反馈意见，修改完善后报分管市领导</w:t>
      </w:r>
      <w:r>
        <w:rPr>
          <w:rFonts w:eastAsia="仿宋_GB2312" w:hint="eastAsia"/>
          <w:spacing w:val="-2"/>
        </w:rPr>
        <w:t>同志</w:t>
      </w:r>
      <w:r>
        <w:rPr>
          <w:rFonts w:eastAsia="仿宋_GB2312" w:hint="eastAsia"/>
          <w:spacing w:val="-2"/>
        </w:rPr>
        <w:t>审定，并抄送市发展改革委。</w:t>
      </w:r>
    </w:p>
    <w:p w:rsidR="00506D25" w:rsidRDefault="003D33A2" w:rsidP="00E93AFC">
      <w:pPr>
        <w:pStyle w:val="a3"/>
        <w:ind w:firstLineChars="200" w:firstLine="622"/>
        <w:rPr>
          <w:rFonts w:eastAsia="仿宋_GB2312"/>
        </w:rPr>
      </w:pPr>
      <w:r>
        <w:rPr>
          <w:rFonts w:ascii="楷体_GB2312" w:eastAsia="楷体_GB2312" w:hAnsi="楷体_GB2312" w:cs="楷体_GB2312" w:hint="eastAsia"/>
        </w:rPr>
        <w:t>（四）各区“十四五”规划纲要</w:t>
      </w:r>
      <w:r>
        <w:rPr>
          <w:rFonts w:ascii="楷体_GB2312" w:eastAsia="楷体_GB2312" w:hAnsi="楷体_GB2312" w:cs="楷体_GB2312" w:hint="eastAsia"/>
        </w:rPr>
        <w:t>实施进展</w:t>
      </w:r>
      <w:r>
        <w:rPr>
          <w:rFonts w:ascii="楷体_GB2312" w:eastAsia="楷体_GB2312" w:hAnsi="楷体_GB2312" w:cs="楷体_GB2312" w:hint="eastAsia"/>
        </w:rPr>
        <w:t>评估</w:t>
      </w:r>
      <w:r>
        <w:rPr>
          <w:rFonts w:eastAsia="仿宋_GB2312" w:hint="eastAsia"/>
        </w:rPr>
        <w:t>。各区要参照国家和市级做法，组织开展本区“十四五”规划纲要</w:t>
      </w:r>
      <w:r>
        <w:rPr>
          <w:rFonts w:eastAsia="仿宋_GB2312" w:hint="eastAsia"/>
        </w:rPr>
        <w:t>实施</w:t>
      </w:r>
      <w:r>
        <w:rPr>
          <w:rFonts w:eastAsia="仿宋_GB2312" w:hint="eastAsia"/>
        </w:rPr>
        <w:t>中期评估，形成本区“十四五”规划纲要</w:t>
      </w:r>
      <w:r>
        <w:rPr>
          <w:rFonts w:eastAsia="仿宋_GB2312" w:hint="eastAsia"/>
        </w:rPr>
        <w:t>实施</w:t>
      </w:r>
      <w:r>
        <w:rPr>
          <w:rFonts w:eastAsia="仿宋_GB2312" w:hint="eastAsia"/>
        </w:rPr>
        <w:t>中期评估报告。其中，应对全市“十四五”规划纲要涉及的内容进行重点评估。形成评估报告后，应提交本级人大常委会审议，并抄送市发展改革委。</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五、规划调整</w:t>
      </w:r>
    </w:p>
    <w:p w:rsidR="00506D25" w:rsidRDefault="003D33A2" w:rsidP="00E93AFC">
      <w:pPr>
        <w:pStyle w:val="a3"/>
        <w:ind w:firstLineChars="200" w:firstLine="622"/>
        <w:rPr>
          <w:rFonts w:eastAsia="仿宋_GB2312"/>
        </w:rPr>
      </w:pPr>
      <w:r>
        <w:rPr>
          <w:rFonts w:eastAsia="仿宋_GB2312" w:hint="eastAsia"/>
        </w:rPr>
        <w:t>各区人民政府、各有关部门</w:t>
      </w:r>
      <w:r>
        <w:rPr>
          <w:rFonts w:eastAsia="仿宋_GB2312" w:hint="eastAsia"/>
        </w:rPr>
        <w:t>要认真对照</w:t>
      </w:r>
      <w:r>
        <w:rPr>
          <w:rFonts w:eastAsia="仿宋_GB2312" w:hint="eastAsia"/>
        </w:rPr>
        <w:t>党的二十大提出的新目标新部署新要求，深入分析研判“十四五”中后期国内外形势，结合规划实施进展情况、国内外发展环境新变化、党中央</w:t>
      </w:r>
      <w:r>
        <w:rPr>
          <w:rFonts w:eastAsia="仿宋_GB2312" w:hint="eastAsia"/>
        </w:rPr>
        <w:t>和</w:t>
      </w:r>
      <w:r>
        <w:rPr>
          <w:rFonts w:eastAsia="仿宋_GB2312" w:hint="eastAsia"/>
        </w:rPr>
        <w:t>国务院新出台的有关战略、规划</w:t>
      </w:r>
      <w:r>
        <w:rPr>
          <w:rFonts w:eastAsia="仿宋_GB2312" w:hint="eastAsia"/>
        </w:rPr>
        <w:t>、决策</w:t>
      </w:r>
      <w:r>
        <w:rPr>
          <w:rFonts w:eastAsia="仿宋_GB2312" w:hint="eastAsia"/>
        </w:rPr>
        <w:t>部署以及市委、市政府</w:t>
      </w:r>
      <w:r>
        <w:rPr>
          <w:rFonts w:eastAsia="仿宋_GB2312" w:hint="eastAsia"/>
        </w:rPr>
        <w:t>部署</w:t>
      </w:r>
      <w:r>
        <w:rPr>
          <w:rFonts w:eastAsia="仿宋_GB2312" w:hint="eastAsia"/>
        </w:rPr>
        <w:t>要求，深入研究论证是否需要对规划相关内容进行调整修订。确需调整的，要严格履行报批程序，未经批准的不得随意调整。市级专项规划调整方案由规划编制牵头部门向市人民政府提出调整建议，经分管市领导</w:t>
      </w:r>
      <w:r>
        <w:rPr>
          <w:rFonts w:eastAsia="仿宋_GB2312" w:hint="eastAsia"/>
        </w:rPr>
        <w:t>同志</w:t>
      </w:r>
      <w:r>
        <w:rPr>
          <w:rFonts w:eastAsia="仿宋_GB2312" w:hint="eastAsia"/>
        </w:rPr>
        <w:t>同意后送市发展改革委备案。各区“十四五”规划纲要调整方案按程序提请区人大常委会审议批准后，抄送市发展改</w:t>
      </w:r>
      <w:r>
        <w:rPr>
          <w:rFonts w:eastAsia="仿宋_GB2312" w:hint="eastAsia"/>
        </w:rPr>
        <w:t>革委。</w:t>
      </w:r>
    </w:p>
    <w:p w:rsidR="00506D25" w:rsidRDefault="003D33A2" w:rsidP="00E93AFC">
      <w:pPr>
        <w:pStyle w:val="a3"/>
        <w:ind w:firstLineChars="200" w:firstLine="622"/>
        <w:rPr>
          <w:rFonts w:ascii="黑体" w:eastAsia="黑体" w:hAnsi="黑体" w:cs="黑体"/>
        </w:rPr>
      </w:pPr>
      <w:r>
        <w:rPr>
          <w:rFonts w:ascii="黑体" w:eastAsia="黑体" w:hAnsi="黑体" w:cs="黑体" w:hint="eastAsia"/>
        </w:rPr>
        <w:t>六、工作要求</w:t>
      </w:r>
    </w:p>
    <w:p w:rsidR="00506D25" w:rsidRDefault="003D33A2" w:rsidP="00E93AFC">
      <w:pPr>
        <w:pStyle w:val="a3"/>
        <w:ind w:firstLineChars="200" w:firstLine="622"/>
        <w:rPr>
          <w:rFonts w:eastAsia="仿宋_GB2312"/>
        </w:rPr>
      </w:pPr>
      <w:r>
        <w:rPr>
          <w:rFonts w:eastAsia="仿宋_GB2312" w:hint="eastAsia"/>
        </w:rPr>
        <w:t>（一）各区人民政府、各部门</w:t>
      </w:r>
      <w:r>
        <w:rPr>
          <w:rFonts w:eastAsia="仿宋_GB2312" w:hint="eastAsia"/>
        </w:rPr>
        <w:t>要</w:t>
      </w:r>
      <w:r>
        <w:rPr>
          <w:rFonts w:eastAsia="仿宋_GB2312" w:hint="eastAsia"/>
        </w:rPr>
        <w:t>高度重视“十四五”规划实施中期评估工作，加强</w:t>
      </w:r>
      <w:r>
        <w:rPr>
          <w:rFonts w:eastAsia="仿宋_GB2312" w:hint="eastAsia"/>
        </w:rPr>
        <w:t>协调</w:t>
      </w:r>
      <w:r>
        <w:rPr>
          <w:rFonts w:eastAsia="仿宋_GB2312" w:hint="eastAsia"/>
        </w:rPr>
        <w:t>，周密部署，精心组织实施，确保按时完成工作任务。在中期评估的过程中，各区、各部门要加强上下联动、横向互动，主动沟通上下级规划、同级相关领域规划实施情况，加强信息资源共享和经验互通。</w:t>
      </w:r>
    </w:p>
    <w:p w:rsidR="00506D25" w:rsidRDefault="003D33A2" w:rsidP="00E93AFC">
      <w:pPr>
        <w:pStyle w:val="a3"/>
        <w:ind w:firstLineChars="200" w:firstLine="622"/>
        <w:rPr>
          <w:rFonts w:eastAsia="仿宋_GB2312"/>
        </w:rPr>
      </w:pPr>
      <w:r>
        <w:rPr>
          <w:rFonts w:eastAsia="仿宋_GB2312" w:hint="eastAsia"/>
        </w:rPr>
        <w:t>（二）各区人民政府、各部门于</w:t>
      </w:r>
      <w:r>
        <w:rPr>
          <w:rFonts w:eastAsia="仿宋_GB2312" w:hint="eastAsia"/>
        </w:rPr>
        <w:t>4</w:t>
      </w:r>
      <w:r>
        <w:rPr>
          <w:rFonts w:eastAsia="仿宋_GB2312" w:hint="eastAsia"/>
        </w:rPr>
        <w:t>月底前将评估报告初稿送市发展改革委。</w:t>
      </w:r>
      <w:r>
        <w:rPr>
          <w:rFonts w:eastAsia="仿宋_GB2312" w:hint="eastAsia"/>
        </w:rPr>
        <w:t>7</w:t>
      </w:r>
      <w:r>
        <w:rPr>
          <w:rFonts w:eastAsia="仿宋_GB2312" w:hint="eastAsia"/>
        </w:rPr>
        <w:t>月</w:t>
      </w:r>
      <w:r>
        <w:rPr>
          <w:rFonts w:eastAsia="仿宋_GB2312" w:hint="eastAsia"/>
        </w:rPr>
        <w:t>10</w:t>
      </w:r>
      <w:r>
        <w:rPr>
          <w:rFonts w:eastAsia="仿宋_GB2312" w:hint="eastAsia"/>
        </w:rPr>
        <w:t>日前，</w:t>
      </w:r>
      <w:r>
        <w:rPr>
          <w:rFonts w:eastAsia="仿宋_GB2312" w:hint="eastAsia"/>
        </w:rPr>
        <w:t>各</w:t>
      </w:r>
      <w:r>
        <w:rPr>
          <w:rFonts w:eastAsia="仿宋_GB2312" w:hint="eastAsia"/>
        </w:rPr>
        <w:t>市级专项规划牵头部门将经分管市领导</w:t>
      </w:r>
      <w:r>
        <w:rPr>
          <w:rFonts w:eastAsia="仿宋_GB2312" w:hint="eastAsia"/>
        </w:rPr>
        <w:t>同志</w:t>
      </w:r>
      <w:r>
        <w:rPr>
          <w:rFonts w:eastAsia="仿宋_GB2312" w:hint="eastAsia"/>
        </w:rPr>
        <w:t>审定后的中期评估报告送市发展改革委</w:t>
      </w:r>
      <w:r>
        <w:rPr>
          <w:rFonts w:eastAsia="仿宋_GB2312" w:hint="eastAsia"/>
        </w:rPr>
        <w:t>；</w:t>
      </w:r>
      <w:r>
        <w:rPr>
          <w:rFonts w:eastAsia="仿宋_GB2312" w:hint="eastAsia"/>
        </w:rPr>
        <w:t>各区人民政府将经区主要领导</w:t>
      </w:r>
      <w:r>
        <w:rPr>
          <w:rFonts w:eastAsia="仿宋_GB2312" w:hint="eastAsia"/>
        </w:rPr>
        <w:t>同志</w:t>
      </w:r>
      <w:r>
        <w:rPr>
          <w:rFonts w:eastAsia="仿宋_GB2312" w:hint="eastAsia"/>
        </w:rPr>
        <w:t>审定后的中期评估报告送市发展改革委，区人大常委</w:t>
      </w:r>
      <w:r>
        <w:rPr>
          <w:rFonts w:eastAsia="仿宋_GB2312" w:hint="eastAsia"/>
        </w:rPr>
        <w:t>会审议通过后再抄送市发展改革委。</w:t>
      </w:r>
    </w:p>
    <w:p w:rsidR="00506D25" w:rsidRDefault="003D33A2" w:rsidP="00E93AFC">
      <w:pPr>
        <w:pStyle w:val="a3"/>
        <w:ind w:firstLineChars="200" w:firstLine="622"/>
        <w:rPr>
          <w:rFonts w:eastAsia="仿宋_GB2312"/>
        </w:rPr>
      </w:pPr>
      <w:r>
        <w:rPr>
          <w:rFonts w:eastAsia="仿宋_GB2312" w:hint="eastAsia"/>
        </w:rPr>
        <w:t>（三）中期评估采用</w:t>
      </w:r>
      <w:r>
        <w:rPr>
          <w:rFonts w:eastAsia="仿宋_GB2312" w:hint="eastAsia"/>
        </w:rPr>
        <w:t>的</w:t>
      </w:r>
      <w:r>
        <w:rPr>
          <w:rFonts w:eastAsia="仿宋_GB2312" w:hint="eastAsia"/>
        </w:rPr>
        <w:t>数据中，年度数据截止时点为</w:t>
      </w:r>
      <w:r>
        <w:rPr>
          <w:rFonts w:eastAsia="仿宋_GB2312" w:hint="eastAsia"/>
        </w:rPr>
        <w:t>2022</w:t>
      </w:r>
      <w:r>
        <w:rPr>
          <w:rFonts w:eastAsia="仿宋_GB2312" w:hint="eastAsia"/>
        </w:rPr>
        <w:t>年</w:t>
      </w:r>
      <w:r>
        <w:rPr>
          <w:rFonts w:eastAsia="仿宋_GB2312" w:hint="eastAsia"/>
        </w:rPr>
        <w:t>12</w:t>
      </w:r>
      <w:r>
        <w:rPr>
          <w:rFonts w:eastAsia="仿宋_GB2312" w:hint="eastAsia"/>
        </w:rPr>
        <w:t>月</w:t>
      </w:r>
      <w:r>
        <w:rPr>
          <w:rFonts w:eastAsia="仿宋_GB2312" w:hint="eastAsia"/>
        </w:rPr>
        <w:t>31</w:t>
      </w:r>
      <w:r>
        <w:rPr>
          <w:rFonts w:eastAsia="仿宋_GB2312" w:hint="eastAsia"/>
        </w:rPr>
        <w:t>日，月度数据截止时点为</w:t>
      </w:r>
      <w:r>
        <w:rPr>
          <w:rFonts w:eastAsia="仿宋_GB2312" w:hint="eastAsia"/>
        </w:rPr>
        <w:t>2023</w:t>
      </w:r>
      <w:r>
        <w:rPr>
          <w:rFonts w:eastAsia="仿宋_GB2312" w:hint="eastAsia"/>
        </w:rPr>
        <w:t>年</w:t>
      </w:r>
      <w:r>
        <w:rPr>
          <w:rFonts w:eastAsia="仿宋_GB2312" w:hint="eastAsia"/>
        </w:rPr>
        <w:t>6</w:t>
      </w:r>
      <w:r>
        <w:rPr>
          <w:rFonts w:eastAsia="仿宋_GB2312" w:hint="eastAsia"/>
        </w:rPr>
        <w:t>月</w:t>
      </w:r>
      <w:r>
        <w:rPr>
          <w:rFonts w:eastAsia="仿宋_GB2312" w:hint="eastAsia"/>
        </w:rPr>
        <w:t>30</w:t>
      </w:r>
      <w:r>
        <w:rPr>
          <w:rFonts w:eastAsia="仿宋_GB2312" w:hint="eastAsia"/>
        </w:rPr>
        <w:t>日；中期评估涉及的任务进展情况截止时点为</w:t>
      </w:r>
      <w:r>
        <w:rPr>
          <w:rFonts w:eastAsia="仿宋_GB2312" w:hint="eastAsia"/>
        </w:rPr>
        <w:t>2023</w:t>
      </w:r>
      <w:r>
        <w:rPr>
          <w:rFonts w:eastAsia="仿宋_GB2312" w:hint="eastAsia"/>
        </w:rPr>
        <w:t>年</w:t>
      </w:r>
      <w:r>
        <w:rPr>
          <w:rFonts w:eastAsia="仿宋_GB2312" w:hint="eastAsia"/>
        </w:rPr>
        <w:t>6</w:t>
      </w:r>
      <w:r>
        <w:rPr>
          <w:rFonts w:eastAsia="仿宋_GB2312" w:hint="eastAsia"/>
        </w:rPr>
        <w:t>月</w:t>
      </w:r>
      <w:r>
        <w:rPr>
          <w:rFonts w:eastAsia="仿宋_GB2312" w:hint="eastAsia"/>
        </w:rPr>
        <w:t>30</w:t>
      </w:r>
      <w:r>
        <w:rPr>
          <w:rFonts w:eastAsia="仿宋_GB2312" w:hint="eastAsia"/>
        </w:rPr>
        <w:t>日。如无统计数据，可先用预计数据，待正式数据发布后，再行更换。</w:t>
      </w:r>
    </w:p>
    <w:p w:rsidR="00506D25" w:rsidRDefault="003D33A2" w:rsidP="00E93AFC">
      <w:pPr>
        <w:pStyle w:val="a3"/>
        <w:ind w:firstLineChars="200" w:firstLine="622"/>
        <w:rPr>
          <w:rFonts w:eastAsia="仿宋_GB2312"/>
        </w:rPr>
      </w:pPr>
      <w:r>
        <w:rPr>
          <w:rFonts w:eastAsia="仿宋_GB2312" w:hint="eastAsia"/>
        </w:rPr>
        <w:t>（四）各区人民政府、各有关部门指定</w:t>
      </w:r>
      <w:r>
        <w:rPr>
          <w:rFonts w:eastAsia="仿宋_GB2312" w:hint="eastAsia"/>
        </w:rPr>
        <w:t>1</w:t>
      </w:r>
      <w:r>
        <w:rPr>
          <w:rFonts w:eastAsia="仿宋_GB2312" w:hint="eastAsia"/>
        </w:rPr>
        <w:t>名中期评估工作联系人，于</w:t>
      </w:r>
      <w:r>
        <w:rPr>
          <w:rFonts w:eastAsia="仿宋_GB2312" w:hint="eastAsia"/>
        </w:rPr>
        <w:t>3</w:t>
      </w:r>
      <w:r>
        <w:rPr>
          <w:rFonts w:eastAsia="仿宋_GB2312" w:hint="eastAsia"/>
        </w:rPr>
        <w:t>月</w:t>
      </w:r>
      <w:r>
        <w:rPr>
          <w:rFonts w:eastAsia="仿宋_GB2312" w:hint="eastAsia"/>
        </w:rPr>
        <w:t>16</w:t>
      </w:r>
      <w:r>
        <w:rPr>
          <w:rFonts w:eastAsia="仿宋_GB2312" w:hint="eastAsia"/>
        </w:rPr>
        <w:t>日前将姓名、职务、联系方式反馈市发展改革委。</w:t>
      </w:r>
    </w:p>
    <w:p w:rsidR="00506D25" w:rsidRDefault="00506D25">
      <w:pPr>
        <w:pStyle w:val="a3"/>
        <w:rPr>
          <w:rFonts w:eastAsia="仿宋_GB2312"/>
        </w:rPr>
      </w:pPr>
    </w:p>
    <w:p w:rsidR="00506D25" w:rsidRDefault="003D33A2" w:rsidP="00E93AFC">
      <w:pPr>
        <w:pStyle w:val="a3"/>
        <w:tabs>
          <w:tab w:val="left" w:pos="414"/>
        </w:tabs>
        <w:ind w:firstLineChars="200" w:firstLine="622"/>
        <w:rPr>
          <w:rFonts w:eastAsia="仿宋_GB2312"/>
          <w:szCs w:val="32"/>
        </w:rPr>
      </w:pPr>
      <w:r>
        <w:rPr>
          <w:rFonts w:eastAsia="仿宋_GB2312" w:hint="eastAsia"/>
          <w:szCs w:val="32"/>
        </w:rPr>
        <w:t>附件：</w:t>
      </w:r>
      <w:r>
        <w:rPr>
          <w:rFonts w:eastAsia="仿宋_GB2312" w:hint="eastAsia"/>
          <w:szCs w:val="32"/>
        </w:rPr>
        <w:t>1</w:t>
      </w:r>
      <w:r>
        <w:rPr>
          <w:rFonts w:eastAsia="仿宋_GB2312" w:hint="eastAsia"/>
          <w:szCs w:val="32"/>
        </w:rPr>
        <w:t>．天津市“十四五”市级专项规划编制目录清单</w:t>
      </w:r>
    </w:p>
    <w:p w:rsidR="00506D25" w:rsidRDefault="003D33A2" w:rsidP="00E93AFC">
      <w:pPr>
        <w:pStyle w:val="a3"/>
        <w:numPr>
          <w:ilvl w:val="0"/>
          <w:numId w:val="1"/>
        </w:numPr>
        <w:tabs>
          <w:tab w:val="left" w:pos="414"/>
        </w:tabs>
        <w:ind w:firstLineChars="500" w:firstLine="1555"/>
        <w:rPr>
          <w:rFonts w:eastAsia="仿宋_GB2312"/>
          <w:szCs w:val="32"/>
        </w:rPr>
      </w:pPr>
      <w:r>
        <w:rPr>
          <w:rFonts w:eastAsia="仿宋_GB2312" w:hint="eastAsia"/>
          <w:szCs w:val="32"/>
        </w:rPr>
        <w:t>中期评估报告框架（示例）</w:t>
      </w:r>
    </w:p>
    <w:p w:rsidR="00506D25" w:rsidRDefault="00506D25">
      <w:pPr>
        <w:pStyle w:val="a3"/>
        <w:rPr>
          <w:rFonts w:eastAsia="仿宋_GB2312"/>
          <w:szCs w:val="32"/>
        </w:rPr>
        <w:sectPr w:rsidR="00506D25">
          <w:headerReference w:type="default" r:id="rId14"/>
          <w:footerReference w:type="default" r:id="rId15"/>
          <w:footerReference w:type="first" r:id="rId16"/>
          <w:pgSz w:w="11907" w:h="16840"/>
          <w:pgMar w:top="2098" w:right="1474" w:bottom="1984" w:left="1587" w:header="851" w:footer="1701" w:gutter="0"/>
          <w:cols w:space="720"/>
          <w:docGrid w:type="linesAndChars" w:linePitch="289" w:charSpace="-1839"/>
        </w:sectPr>
      </w:pPr>
    </w:p>
    <w:p w:rsidR="00506D25" w:rsidRDefault="003D33A2">
      <w:pPr>
        <w:widowControl/>
        <w:rPr>
          <w:rFonts w:eastAsia="方正小标宋简体"/>
          <w:bCs/>
          <w:sz w:val="32"/>
          <w:szCs w:val="32"/>
        </w:rPr>
      </w:pPr>
      <w:r>
        <w:rPr>
          <w:rFonts w:ascii="黑体" w:eastAsia="黑体" w:hAnsi="黑体" w:cs="黑体" w:hint="eastAsia"/>
          <w:bCs/>
          <w:sz w:val="32"/>
          <w:szCs w:val="32"/>
        </w:rPr>
        <w:t>附件</w:t>
      </w:r>
      <w:r>
        <w:rPr>
          <w:rFonts w:eastAsia="方正小标宋简体"/>
          <w:bCs/>
          <w:sz w:val="32"/>
          <w:szCs w:val="32"/>
        </w:rPr>
        <w:t>1</w:t>
      </w:r>
    </w:p>
    <w:p w:rsidR="00506D25" w:rsidRDefault="00506D25">
      <w:pPr>
        <w:rPr>
          <w:rFonts w:ascii="仿宋_GB2312" w:eastAsia="仿宋_GB2312" w:hAnsi="仿宋_GB2312" w:cs="仿宋_GB2312"/>
          <w:sz w:val="32"/>
          <w:szCs w:val="32"/>
        </w:rPr>
      </w:pPr>
    </w:p>
    <w:p w:rsidR="00506D25" w:rsidRDefault="003D33A2">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天津市“十四五”市级专项规划编制目录清单</w:t>
      </w:r>
    </w:p>
    <w:p w:rsidR="00506D25" w:rsidRDefault="00506D25">
      <w:pPr>
        <w:rPr>
          <w:rFonts w:ascii="仿宋_GB2312" w:eastAsia="仿宋_GB2312" w:hAnsi="仿宋_GB2312" w:cs="仿宋_GB2312"/>
          <w:sz w:val="32"/>
          <w:szCs w:val="32"/>
        </w:rPr>
      </w:pPr>
    </w:p>
    <w:tbl>
      <w:tblPr>
        <w:tblW w:w="9410" w:type="dxa"/>
        <w:jc w:val="center"/>
        <w:tblLayout w:type="fixed"/>
        <w:tblLook w:val="04A0" w:firstRow="1" w:lastRow="0" w:firstColumn="1" w:lastColumn="0" w:noHBand="0" w:noVBand="1"/>
      </w:tblPr>
      <w:tblGrid>
        <w:gridCol w:w="836"/>
        <w:gridCol w:w="6160"/>
        <w:gridCol w:w="2414"/>
      </w:tblGrid>
      <w:tr w:rsidR="00506D25">
        <w:trPr>
          <w:trHeight w:hRule="exact" w:val="627"/>
          <w:tblHeader/>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黑体"/>
                <w:color w:val="000000"/>
                <w:kern w:val="0"/>
                <w:sz w:val="28"/>
                <w:szCs w:val="28"/>
              </w:rPr>
            </w:pPr>
            <w:r>
              <w:rPr>
                <w:rFonts w:eastAsia="黑体"/>
                <w:color w:val="000000"/>
                <w:kern w:val="0"/>
                <w:sz w:val="28"/>
                <w:szCs w:val="28"/>
              </w:rPr>
              <w:t>序号</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规划名称</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牵头部门</w:t>
            </w:r>
          </w:p>
        </w:tc>
      </w:tr>
      <w:tr w:rsidR="00506D25">
        <w:trPr>
          <w:trHeight w:hRule="exact" w:val="567"/>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创新发展（</w:t>
            </w:r>
            <w:r>
              <w:rPr>
                <w:rFonts w:eastAsia="黑体"/>
                <w:color w:val="000000"/>
                <w:kern w:val="0"/>
                <w:sz w:val="28"/>
                <w:szCs w:val="28"/>
              </w:rPr>
              <w:t>10</w:t>
            </w:r>
            <w:r>
              <w:rPr>
                <w:rFonts w:ascii="黑体" w:eastAsia="黑体" w:hAnsi="黑体" w:cs="宋体" w:hint="eastAsia"/>
                <w:color w:val="000000"/>
                <w:kern w:val="0"/>
                <w:sz w:val="28"/>
                <w:szCs w:val="28"/>
              </w:rPr>
              <w:t>个）</w:t>
            </w:r>
          </w:p>
        </w:tc>
      </w:tr>
      <w:tr w:rsidR="00506D25">
        <w:trPr>
          <w:trHeight w:hRule="exac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天津市科技创新“十四五”规划</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市科技局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color w:val="000000"/>
                <w:kern w:val="0"/>
                <w:sz w:val="28"/>
                <w:szCs w:val="28"/>
              </w:rPr>
              <w:t>2</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天津市制造业高质量发展“十四五”规划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市工业和信息化局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color w:val="000000"/>
                <w:kern w:val="0"/>
                <w:sz w:val="28"/>
                <w:szCs w:val="28"/>
              </w:rPr>
              <w:t>3</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天津市战略性新兴产业发展“十四五”规划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天津市服务业发展“十四五”规划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5</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天津市金融业发展“十四五”规划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市金融局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6</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天津市知识产权“十四五”规划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市知识产权局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7</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天津市社会信用体系建设“十四五”规划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8</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天津市财政发展“十四五”规划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市财政局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9</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天津市文化改革和发展“十四五”规划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市委宣传部</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10</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天津市文化和旅游融合发展“十四五”规划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市文化和旅游局</w:t>
            </w:r>
          </w:p>
        </w:tc>
      </w:tr>
      <w:tr w:rsidR="00506D25">
        <w:trPr>
          <w:trHeight w:hRule="exact" w:val="567"/>
          <w:jc w:val="center"/>
        </w:trPr>
        <w:tc>
          <w:tcPr>
            <w:tcW w:w="9410" w:type="dxa"/>
            <w:gridSpan w:val="3"/>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协调发展（</w:t>
            </w:r>
            <w:r>
              <w:rPr>
                <w:rFonts w:eastAsia="黑体"/>
                <w:color w:val="000000"/>
                <w:kern w:val="0"/>
                <w:sz w:val="28"/>
                <w:szCs w:val="28"/>
              </w:rPr>
              <w:t>9</w:t>
            </w:r>
            <w:r>
              <w:rPr>
                <w:rFonts w:ascii="黑体" w:eastAsia="黑体" w:hAnsi="黑体" w:cs="宋体" w:hint="eastAsia"/>
                <w:color w:val="000000"/>
                <w:kern w:val="0"/>
                <w:sz w:val="28"/>
                <w:szCs w:val="28"/>
              </w:rPr>
              <w:t>个）</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11</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天津市农业农村现代化“十四五”规划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市农业农村委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12</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天津市国有经济布局“十四五”规划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市国资委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13</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天津市民营经济发展“十四五”规划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14</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天津市网络安全和信息化发展“十四五”规划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市委网信办</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15</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天津市人口发展“十四五”规划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70"/>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16</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天津市新型城镇化“十四五”规划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72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color w:val="000000"/>
                <w:kern w:val="0"/>
                <w:sz w:val="28"/>
                <w:szCs w:val="28"/>
              </w:rPr>
              <w:t>1</w:t>
            </w:r>
            <w:r>
              <w:rPr>
                <w:rFonts w:eastAsia="仿宋_GB2312" w:hint="eastAsia"/>
                <w:color w:val="000000"/>
                <w:kern w:val="0"/>
                <w:sz w:val="28"/>
                <w:szCs w:val="28"/>
              </w:rPr>
              <w:t>7</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天津市军民融合发展“十四五”规划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市委军民融合办</w:t>
            </w:r>
          </w:p>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756"/>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18</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天津市公安大数据智能化发展和基础设施建设“十四五”规划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市公安局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color w:val="000000"/>
                <w:kern w:val="0"/>
                <w:sz w:val="28"/>
                <w:szCs w:val="28"/>
              </w:rPr>
              <w:t>1</w:t>
            </w:r>
            <w:r>
              <w:rPr>
                <w:rFonts w:eastAsia="仿宋_GB2312" w:hint="eastAsia"/>
                <w:color w:val="000000"/>
                <w:kern w:val="0"/>
                <w:sz w:val="28"/>
                <w:szCs w:val="28"/>
              </w:rPr>
              <w:t>9</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天津市退役军人事业“十四五”规划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市退役军人局</w:t>
            </w:r>
          </w:p>
        </w:tc>
      </w:tr>
      <w:tr w:rsidR="00506D25">
        <w:trPr>
          <w:trHeight w:hRule="exact" w:val="567"/>
          <w:jc w:val="center"/>
        </w:trPr>
        <w:tc>
          <w:tcPr>
            <w:tcW w:w="9410" w:type="dxa"/>
            <w:gridSpan w:val="3"/>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rPr>
                <w:rFonts w:ascii="黑体" w:eastAsia="黑体" w:hAnsi="黑体" w:cs="宋体"/>
                <w:color w:val="000000"/>
                <w:kern w:val="0"/>
                <w:sz w:val="28"/>
                <w:szCs w:val="28"/>
              </w:rPr>
            </w:pPr>
            <w:r>
              <w:rPr>
                <w:rFonts w:ascii="黑体" w:eastAsia="黑体" w:hAnsi="黑体" w:cs="宋体" w:hint="eastAsia"/>
                <w:color w:val="000000"/>
                <w:kern w:val="0"/>
                <w:sz w:val="28"/>
                <w:szCs w:val="28"/>
              </w:rPr>
              <w:t>绿色发展（</w:t>
            </w:r>
            <w:r>
              <w:rPr>
                <w:rFonts w:eastAsia="黑体"/>
                <w:color w:val="000000"/>
                <w:kern w:val="0"/>
                <w:sz w:val="28"/>
                <w:szCs w:val="28"/>
              </w:rPr>
              <w:t>9</w:t>
            </w:r>
            <w:r>
              <w:rPr>
                <w:rFonts w:ascii="黑体" w:eastAsia="黑体" w:hAnsi="黑体" w:cs="宋体" w:hint="eastAsia"/>
                <w:color w:val="000000"/>
                <w:kern w:val="0"/>
                <w:sz w:val="28"/>
                <w:szCs w:val="28"/>
              </w:rPr>
              <w:t>个）</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20</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天津市自然资源利用和保护“十四五”规划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市规划资源局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21</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天津市生态环境保护“十四五”规划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市生态环境局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22</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天津市水安全保障“十四五”规划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市水务局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23</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天津市重点流域水生态环境保护“十四五”规划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市生态环境局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24</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天津市能源发展“十四五”规划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25</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天津市循环经济发展“十四五”规划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26</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天津市绿色建筑发展“十四五”规划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市住房城乡建设委</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27</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天津市海洋经济发展“十四五”规划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市规划资源局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28</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天津市气象事业发展“十四五”规划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市气象局</w:t>
            </w:r>
          </w:p>
        </w:tc>
      </w:tr>
      <w:tr w:rsidR="00506D25">
        <w:trPr>
          <w:trHeight w:hRule="exact" w:val="609"/>
          <w:jc w:val="center"/>
        </w:trPr>
        <w:tc>
          <w:tcPr>
            <w:tcW w:w="9410" w:type="dxa"/>
            <w:gridSpan w:val="3"/>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开放发展（</w:t>
            </w:r>
            <w:r>
              <w:rPr>
                <w:rFonts w:eastAsia="黑体"/>
                <w:color w:val="000000"/>
                <w:kern w:val="0"/>
                <w:sz w:val="28"/>
                <w:szCs w:val="28"/>
              </w:rPr>
              <w:t>3</w:t>
            </w:r>
            <w:r>
              <w:rPr>
                <w:rFonts w:ascii="黑体" w:eastAsia="黑体" w:hAnsi="黑体" w:cs="宋体" w:hint="eastAsia"/>
                <w:color w:val="000000"/>
                <w:kern w:val="0"/>
                <w:sz w:val="28"/>
                <w:szCs w:val="28"/>
              </w:rPr>
              <w:t>个）</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29</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天津市商务发展“十四五”规划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市商务局</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30</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天津市扩大国内合作交流“十四五”规划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市合作交流办</w:t>
            </w:r>
          </w:p>
        </w:tc>
      </w:tr>
      <w:tr w:rsidR="00506D25">
        <w:trPr>
          <w:trHeight w:hRule="exac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31</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天津市“一带一路”建设“十四五”规划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hRule="exact" w:val="595"/>
          <w:jc w:val="center"/>
        </w:trPr>
        <w:tc>
          <w:tcPr>
            <w:tcW w:w="9410" w:type="dxa"/>
            <w:gridSpan w:val="3"/>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共享发展（</w:t>
            </w:r>
            <w:r>
              <w:rPr>
                <w:rFonts w:eastAsia="黑体"/>
                <w:color w:val="000000"/>
                <w:kern w:val="0"/>
                <w:sz w:val="28"/>
                <w:szCs w:val="28"/>
              </w:rPr>
              <w:t>17</w:t>
            </w:r>
            <w:r>
              <w:rPr>
                <w:rFonts w:ascii="黑体" w:eastAsia="黑体" w:hAnsi="黑体" w:cs="宋体" w:hint="eastAsia"/>
                <w:color w:val="000000"/>
                <w:kern w:val="0"/>
                <w:sz w:val="28"/>
                <w:szCs w:val="28"/>
              </w:rPr>
              <w:t>个）</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32</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天津市智慧城市建设“十四五”规划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市委网信办</w:t>
            </w:r>
          </w:p>
        </w:tc>
      </w:tr>
      <w:tr w:rsidR="00506D25">
        <w:trPr>
          <w:trHeight w:val="663"/>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33</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天津市综合交通运输“十四五”规划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市交通运输委</w:t>
            </w:r>
          </w:p>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val="58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34</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天津市基本公共服务标准体系建设“十四五”规划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市发展改革委</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35</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天津市人力资源和社会保障“十四五”规划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市人社局</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36</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天津市教育现代化“十四五”规划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市教委</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37</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天津市卫生健康事业发展“十四五”规划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市卫生健康委</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38</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天津市民政事业发展“十四五”规划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市民政局</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39</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天津市老龄事业发展“十四五”规划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市卫生健康委</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40</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天津市医疗保障发展“十四五”规划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市医保局</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41</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天津市妇女儿童发展“十四五”规划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市妇儿工委</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42</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天津市体育发展“十四五”规划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市体育局</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43</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天津市应急管理“十四五”规划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市应急局</w:t>
            </w:r>
          </w:p>
        </w:tc>
      </w:tr>
      <w:tr w:rsidR="00506D25">
        <w:trPr>
          <w:trHeight w:val="567"/>
          <w:jc w:val="center"/>
        </w:trPr>
        <w:tc>
          <w:tcPr>
            <w:tcW w:w="836" w:type="dxa"/>
            <w:tcBorders>
              <w:top w:val="nil"/>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44</w:t>
            </w:r>
          </w:p>
        </w:tc>
        <w:tc>
          <w:tcPr>
            <w:tcW w:w="6160" w:type="dxa"/>
            <w:tcBorders>
              <w:top w:val="nil"/>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天津市社会消防救援事业发展“十四五”规划</w:t>
            </w:r>
          </w:p>
        </w:tc>
        <w:tc>
          <w:tcPr>
            <w:tcW w:w="2414" w:type="dxa"/>
            <w:tcBorders>
              <w:top w:val="nil"/>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市消防救援总队</w:t>
            </w:r>
          </w:p>
        </w:tc>
      </w:tr>
      <w:tr w:rsidR="00506D25">
        <w:trPr>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45</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天津市市场监管“十四五”规划</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市市场监管委</w:t>
            </w:r>
          </w:p>
        </w:tc>
      </w:tr>
      <w:tr w:rsidR="00506D25">
        <w:trPr>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46</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天津市食品监管“十四五”规划</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市市场监管委</w:t>
            </w:r>
          </w:p>
        </w:tc>
      </w:tr>
      <w:tr w:rsidR="00506D25">
        <w:trPr>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47</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天津市药品监管“十四五”规划</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市药监局</w:t>
            </w:r>
          </w:p>
        </w:tc>
      </w:tr>
      <w:tr w:rsidR="00506D25">
        <w:trPr>
          <w:trHeight w:val="567"/>
          <w:jc w:val="center"/>
        </w:trPr>
        <w:tc>
          <w:tcPr>
            <w:tcW w:w="836" w:type="dxa"/>
            <w:tcBorders>
              <w:top w:val="single" w:sz="4" w:space="0" w:color="auto"/>
              <w:left w:val="single" w:sz="4" w:space="0" w:color="auto"/>
              <w:bottom w:val="single" w:sz="4" w:space="0" w:color="auto"/>
              <w:right w:val="single" w:sz="4" w:space="0" w:color="auto"/>
            </w:tcBorders>
            <w:vAlign w:val="center"/>
          </w:tcPr>
          <w:p w:rsidR="00506D25" w:rsidRDefault="003D33A2">
            <w:pPr>
              <w:widowControl/>
              <w:spacing w:line="320" w:lineRule="exact"/>
              <w:jc w:val="center"/>
              <w:rPr>
                <w:rFonts w:eastAsia="仿宋_GB2312"/>
                <w:color w:val="000000"/>
                <w:kern w:val="0"/>
                <w:sz w:val="28"/>
                <w:szCs w:val="28"/>
              </w:rPr>
            </w:pPr>
            <w:r>
              <w:rPr>
                <w:rFonts w:eastAsia="仿宋_GB2312" w:hint="eastAsia"/>
                <w:color w:val="000000"/>
                <w:kern w:val="0"/>
                <w:sz w:val="28"/>
                <w:szCs w:val="28"/>
              </w:rPr>
              <w:t>48</w:t>
            </w:r>
          </w:p>
        </w:tc>
        <w:tc>
          <w:tcPr>
            <w:tcW w:w="6160"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天津市城市管理精细化“十四五”规划</w:t>
            </w:r>
          </w:p>
        </w:tc>
        <w:tc>
          <w:tcPr>
            <w:tcW w:w="2414" w:type="dxa"/>
            <w:tcBorders>
              <w:top w:val="single" w:sz="4" w:space="0" w:color="auto"/>
              <w:left w:val="nil"/>
              <w:bottom w:val="single" w:sz="4" w:space="0" w:color="auto"/>
              <w:right w:val="single" w:sz="4" w:space="0" w:color="auto"/>
            </w:tcBorders>
            <w:vAlign w:val="center"/>
          </w:tcPr>
          <w:p w:rsidR="00506D25" w:rsidRDefault="003D33A2">
            <w:pPr>
              <w:widowControl/>
              <w:spacing w:line="32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市城市管理委</w:t>
            </w:r>
          </w:p>
        </w:tc>
      </w:tr>
    </w:tbl>
    <w:p w:rsidR="00506D25" w:rsidRDefault="00506D25">
      <w:pPr>
        <w:wordWrap w:val="0"/>
        <w:spacing w:line="580" w:lineRule="exact"/>
        <w:rPr>
          <w:rFonts w:eastAsia="仿宋_GB2312"/>
          <w:sz w:val="32"/>
          <w:szCs w:val="32"/>
        </w:rPr>
        <w:sectPr w:rsidR="00506D25">
          <w:headerReference w:type="default" r:id="rId17"/>
          <w:pgSz w:w="11907" w:h="16840"/>
          <w:pgMar w:top="2098" w:right="1474" w:bottom="1985" w:left="1588" w:header="851" w:footer="1701" w:gutter="0"/>
          <w:cols w:space="720"/>
          <w:docGrid w:type="linesAndChars" w:linePitch="289" w:charSpace="-1839"/>
        </w:sectPr>
      </w:pPr>
    </w:p>
    <w:p w:rsidR="00506D25" w:rsidRDefault="003D33A2">
      <w:pPr>
        <w:widowControl/>
        <w:rPr>
          <w:rFonts w:ascii="方正小标宋简体" w:eastAsia="方正小标宋简体" w:hAnsi="Cambria"/>
          <w:bCs/>
          <w:sz w:val="44"/>
          <w:szCs w:val="32"/>
        </w:rPr>
      </w:pPr>
      <w:r>
        <w:rPr>
          <w:rFonts w:ascii="黑体" w:eastAsia="黑体" w:hAnsi="黑体" w:cs="黑体" w:hint="eastAsia"/>
          <w:bCs/>
          <w:sz w:val="32"/>
          <w:szCs w:val="32"/>
        </w:rPr>
        <w:t>附件</w:t>
      </w:r>
      <w:r>
        <w:rPr>
          <w:rFonts w:eastAsia="黑体"/>
          <w:bCs/>
          <w:sz w:val="32"/>
          <w:szCs w:val="32"/>
        </w:rPr>
        <w:t>2</w:t>
      </w:r>
    </w:p>
    <w:p w:rsidR="00506D25" w:rsidRDefault="00506D25">
      <w:pPr>
        <w:wordWrap w:val="0"/>
        <w:rPr>
          <w:rFonts w:ascii="仿宋_GB2312" w:eastAsia="仿宋_GB2312" w:hAnsi="仿宋_GB2312" w:cs="仿宋_GB2312"/>
          <w:color w:val="000000"/>
          <w:sz w:val="32"/>
          <w:szCs w:val="32"/>
        </w:rPr>
      </w:pPr>
    </w:p>
    <w:p w:rsidR="00506D25" w:rsidRDefault="003D33A2">
      <w:pPr>
        <w:wordWrap w:val="0"/>
        <w:snapToGrid w:val="0"/>
        <w:jc w:val="center"/>
        <w:rPr>
          <w:rFonts w:ascii="方正小标宋简体" w:eastAsia="方正小标宋简体" w:hAnsi="方正小标宋简体" w:cs="方正小标宋简体"/>
          <w:color w:val="000000"/>
          <w:sz w:val="44"/>
          <w:szCs w:val="44"/>
        </w:rPr>
      </w:pPr>
      <w:r>
        <w:rPr>
          <w:rFonts w:ascii="方正小标宋_GBK" w:eastAsia="方正小标宋_GBK" w:hAnsi="方正小标宋_GBK" w:cs="方正小标宋_GBK" w:hint="eastAsia"/>
          <w:color w:val="000000"/>
          <w:sz w:val="44"/>
          <w:szCs w:val="44"/>
        </w:rPr>
        <w:t>中期评估报告框架</w:t>
      </w:r>
    </w:p>
    <w:p w:rsidR="00506D25" w:rsidRDefault="003D33A2">
      <w:pPr>
        <w:wordWrap w:val="0"/>
        <w:snapToGrid w:val="0"/>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（示例）</w:t>
      </w:r>
    </w:p>
    <w:p w:rsidR="00506D25" w:rsidRDefault="00506D25">
      <w:pPr>
        <w:wordWrap w:val="0"/>
        <w:rPr>
          <w:rFonts w:ascii="仿宋_GB2312" w:eastAsia="仿宋_GB2312" w:hAnsi="仿宋_GB2312" w:cs="仿宋_GB2312"/>
          <w:color w:val="000000"/>
          <w:sz w:val="32"/>
          <w:szCs w:val="32"/>
        </w:rPr>
      </w:pPr>
    </w:p>
    <w:p w:rsidR="00506D25" w:rsidRDefault="003D33A2" w:rsidP="00E93AFC">
      <w:pPr>
        <w:wordWrap w:val="0"/>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一、规划实施总体进展情况</w:t>
      </w:r>
    </w:p>
    <w:p w:rsidR="00506D25" w:rsidRDefault="003D33A2" w:rsidP="00E93AFC">
      <w:pPr>
        <w:wordWrap w:val="0"/>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一</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主要目标指标进展。本区或本部门承担的主要指标和章节指标的实现进度、预期展望及相关说明等。</w:t>
      </w:r>
    </w:p>
    <w:p w:rsidR="00506D25" w:rsidRDefault="003D33A2" w:rsidP="00E93AFC">
      <w:pPr>
        <w:wordWrap w:val="0"/>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重大战略任务进展。本区或本部门承担的重大战略、重大任务、重大改革举措的实施进展，取得的主要成绩等。</w:t>
      </w:r>
    </w:p>
    <w:p w:rsidR="00506D25" w:rsidRDefault="003D33A2" w:rsidP="00E93AFC">
      <w:pPr>
        <w:wordWrap w:val="0"/>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三</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重大工程项目进展。本区或本部门承担的重大工程项目的实现进度、预期展望及相关说明等。</w:t>
      </w:r>
    </w:p>
    <w:p w:rsidR="00506D25" w:rsidRDefault="003D33A2" w:rsidP="00E93AFC">
      <w:pPr>
        <w:wordWrap w:val="0"/>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二、规划实施面临的主要问题和风险挑战</w:t>
      </w:r>
    </w:p>
    <w:p w:rsidR="00506D25" w:rsidRDefault="003D33A2" w:rsidP="00E93AFC">
      <w:pPr>
        <w:wordWrap w:val="0"/>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一</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外部环境变化情况。分析研判国内外形势对本地区或本单位承担任务的影响。</w:t>
      </w:r>
    </w:p>
    <w:p w:rsidR="00506D25" w:rsidRDefault="003D33A2" w:rsidP="00E93AFC">
      <w:pPr>
        <w:wordWrap w:val="0"/>
        <w:ind w:firstLineChars="200" w:firstLine="622"/>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完成本区或本部门承担任务面临的主要问题和挑战。</w:t>
      </w:r>
    </w:p>
    <w:p w:rsidR="00506D25" w:rsidRDefault="003D33A2" w:rsidP="00E93AFC">
      <w:pPr>
        <w:wordWrap w:val="0"/>
        <w:ind w:firstLineChars="200" w:firstLine="622"/>
        <w:rPr>
          <w:rFonts w:ascii="黑体" w:eastAsia="黑体" w:hAnsi="黑体" w:cs="黑体"/>
          <w:color w:val="000000"/>
          <w:sz w:val="32"/>
          <w:szCs w:val="32"/>
        </w:rPr>
      </w:pPr>
      <w:r>
        <w:rPr>
          <w:rFonts w:ascii="黑体" w:eastAsia="黑体" w:hAnsi="黑体" w:cs="黑体" w:hint="eastAsia"/>
          <w:color w:val="000000"/>
          <w:sz w:val="32"/>
          <w:szCs w:val="32"/>
        </w:rPr>
        <w:t>三、进一步推进规划实施的对策建议</w:t>
      </w:r>
    </w:p>
    <w:p w:rsidR="00506D25" w:rsidRDefault="00506D25">
      <w:pPr>
        <w:wordWrap w:val="0"/>
        <w:spacing w:line="580" w:lineRule="exact"/>
        <w:rPr>
          <w:rFonts w:eastAsia="仿宋_GB2312"/>
          <w:sz w:val="32"/>
          <w:szCs w:val="32"/>
        </w:rPr>
      </w:pPr>
    </w:p>
    <w:p w:rsidR="00506D25" w:rsidRDefault="00506D25">
      <w:pPr>
        <w:pStyle w:val="a3"/>
        <w:rPr>
          <w:rFonts w:eastAsia="仿宋_GB2312"/>
        </w:rPr>
      </w:pPr>
    </w:p>
    <w:p w:rsidR="00506D25" w:rsidRDefault="00506D25">
      <w:pPr>
        <w:pStyle w:val="a3"/>
        <w:rPr>
          <w:rFonts w:eastAsia="仿宋_GB2312"/>
        </w:rPr>
      </w:pPr>
    </w:p>
    <w:p w:rsidR="00506D25" w:rsidRDefault="00506D25">
      <w:pPr>
        <w:pStyle w:val="a3"/>
        <w:rPr>
          <w:rFonts w:eastAsia="仿宋_GB2312"/>
        </w:rPr>
      </w:pPr>
    </w:p>
    <w:p w:rsidR="00506D25" w:rsidRDefault="00506D25">
      <w:pPr>
        <w:pStyle w:val="a3"/>
        <w:rPr>
          <w:rFonts w:eastAsia="仿宋_GB2312"/>
        </w:rPr>
      </w:pPr>
    </w:p>
    <w:sectPr w:rsidR="00506D25">
      <w:headerReference w:type="default" r:id="rId18"/>
      <w:footerReference w:type="even" r:id="rId19"/>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A2" w:rsidRDefault="003D33A2">
      <w:r>
        <w:separator/>
      </w:r>
    </w:p>
  </w:endnote>
  <w:endnote w:type="continuationSeparator" w:id="0">
    <w:p w:rsidR="003D33A2" w:rsidRDefault="003D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framePr w:wrap="around" w:vAnchor="text" w:hAnchor="margin" w:xAlign="outside" w:y="1"/>
      <w:rPr>
        <w:rStyle w:val="a9"/>
      </w:rPr>
    </w:pPr>
    <w:r>
      <w:fldChar w:fldCharType="begin"/>
    </w:r>
    <w:r>
      <w:rPr>
        <w:rStyle w:val="a9"/>
      </w:rPr>
      <w:instrText xml:space="preserve">PAGE  </w:instrText>
    </w:r>
    <w:r>
      <w:fldChar w:fldCharType="end"/>
    </w:r>
  </w:p>
  <w:p w:rsidR="00506D25" w:rsidRDefault="00506D2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framePr w:w="1607" w:wrap="around" w:vAnchor="text" w:hAnchor="margin" w:xAlign="outside" w:y="2"/>
      <w:jc w:val="center"/>
      <w:rPr>
        <w:rStyle w:val="a9"/>
        <w:sz w:val="28"/>
      </w:rPr>
    </w:pPr>
    <w:r>
      <w:rPr>
        <w:rStyle w:val="a9"/>
        <w:rFonts w:hint="eastAsia"/>
        <w:sz w:val="28"/>
      </w:rPr>
      <w:t>—</w:t>
    </w:r>
    <w:r>
      <w:rPr>
        <w:rStyle w:val="a9"/>
        <w:sz w:val="28"/>
      </w:rPr>
      <w:t xml:space="preserve"> </w:t>
    </w:r>
    <w:r>
      <w:rPr>
        <w:rStyle w:val="a9"/>
        <w:sz w:val="28"/>
      </w:rPr>
      <w:fldChar w:fldCharType="begin"/>
    </w:r>
    <w:r>
      <w:rPr>
        <w:rStyle w:val="a9"/>
        <w:sz w:val="28"/>
      </w:rPr>
      <w:instrText xml:space="preserve">PAGE  </w:instrText>
    </w:r>
    <w:r>
      <w:rPr>
        <w:rStyle w:val="a9"/>
        <w:sz w:val="28"/>
      </w:rPr>
      <w:fldChar w:fldCharType="separate"/>
    </w:r>
    <w:r>
      <w:rPr>
        <w:rStyle w:val="a9"/>
        <w:sz w:val="28"/>
      </w:rPr>
      <w:t>2</w:t>
    </w:r>
    <w:r>
      <w:rPr>
        <w:rStyle w:val="a9"/>
        <w:sz w:val="28"/>
      </w:rPr>
      <w:fldChar w:fldCharType="end"/>
    </w:r>
    <w:r>
      <w:rPr>
        <w:rStyle w:val="a9"/>
        <w:sz w:val="28"/>
      </w:rPr>
      <w:t xml:space="preserve"> </w:t>
    </w:r>
    <w:r>
      <w:rPr>
        <w:rStyle w:val="a9"/>
        <w:rFonts w:hint="eastAsia"/>
        <w:sz w:val="28"/>
      </w:rPr>
      <w:t>—</w:t>
    </w:r>
  </w:p>
  <w:p w:rsidR="00506D25" w:rsidRDefault="00506D25">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pPr>
    <w:r>
      <w:rPr>
        <w:sz w:val="28"/>
      </w:rPr>
      <w:pict>
        <v:shapetype id="_x0000_t202" coordsize="21600,21600" o:spt="202" path="m,l,21600r21600,l21600,xe">
          <v:stroke joinstyle="miter"/>
          <v:path gradientshapeok="t" o:connecttype="rect"/>
        </v:shapetype>
        <v:shape id="_x0000_s2067" type="#_x0000_t202" style="position:absolute;margin-left:92.8pt;margin-top:0;width:2in;height:2in;z-index:1;mso-wrap-style:none;mso-position-horizontal:outside;mso-position-horizontal-relative:margin;mso-width-relative:page;mso-height-relative:page" filled="f" stroked="f">
          <v:textbox style="mso-fit-shape-to-text:t" inset="0,0,0,0">
            <w:txbxContent>
              <w:p w:rsidR="00506D25" w:rsidRDefault="00506D25">
                <w:pPr>
                  <w:pStyle w:val="a7"/>
                  <w:jc w:val="both"/>
                </w:pPr>
              </w:p>
              <w:p w:rsidR="00506D25" w:rsidRDefault="00506D25"/>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framePr w:w="1607" w:wrap="around" w:vAnchor="text" w:hAnchor="margin" w:xAlign="outside" w:y="2"/>
      <w:jc w:val="center"/>
      <w:rPr>
        <w:rStyle w:val="a9"/>
        <w:sz w:val="28"/>
      </w:rPr>
    </w:pPr>
    <w:r>
      <w:rPr>
        <w:rStyle w:val="a9"/>
        <w:rFonts w:hint="eastAsia"/>
        <w:sz w:val="28"/>
      </w:rPr>
      <w:t>—</w:t>
    </w:r>
    <w:r>
      <w:rPr>
        <w:rStyle w:val="a9"/>
        <w:sz w:val="28"/>
      </w:rPr>
      <w:t xml:space="preserve"> </w:t>
    </w:r>
    <w:r>
      <w:rPr>
        <w:rStyle w:val="a9"/>
        <w:sz w:val="28"/>
      </w:rPr>
      <w:fldChar w:fldCharType="begin"/>
    </w:r>
    <w:r>
      <w:rPr>
        <w:rStyle w:val="a9"/>
        <w:sz w:val="28"/>
      </w:rPr>
      <w:instrText xml:space="preserve">PAGE  </w:instrText>
    </w:r>
    <w:r>
      <w:rPr>
        <w:rStyle w:val="a9"/>
        <w:sz w:val="28"/>
      </w:rPr>
      <w:fldChar w:fldCharType="separate"/>
    </w:r>
    <w:r w:rsidR="00E93AFC">
      <w:rPr>
        <w:rStyle w:val="a9"/>
        <w:noProof/>
        <w:sz w:val="28"/>
      </w:rPr>
      <w:t>11</w:t>
    </w:r>
    <w:r>
      <w:rPr>
        <w:rStyle w:val="a9"/>
        <w:sz w:val="28"/>
      </w:rPr>
      <w:fldChar w:fldCharType="end"/>
    </w:r>
    <w:r>
      <w:rPr>
        <w:rStyle w:val="a9"/>
        <w:sz w:val="28"/>
      </w:rPr>
      <w:t xml:space="preserve"> </w:t>
    </w:r>
    <w:r>
      <w:rPr>
        <w:rStyle w:val="a9"/>
        <w:rFonts w:hint="eastAsia"/>
        <w:sz w:val="28"/>
      </w:rPr>
      <w:t>—</w:t>
    </w:r>
  </w:p>
  <w:p w:rsidR="00506D25" w:rsidRDefault="00506D25">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pPr>
    <w:r>
      <w:rPr>
        <w:sz w:val="28"/>
      </w:rPr>
      <w:pict>
        <v:shapetype id="_x0000_t202" coordsize="21600,21600" o:spt="202" path="m,l,21600r21600,l21600,xe">
          <v:stroke joinstyle="miter"/>
          <v:path gradientshapeok="t" o:connecttype="rect"/>
        </v:shapetype>
        <v:shape id="_x0000_s2082" type="#_x0000_t202" style="position:absolute;margin-left:92.8pt;margin-top:0;width:2in;height:2in;z-index:2;mso-wrap-style:none;mso-position-horizontal:outside;mso-position-horizontal-relative:margin;mso-width-relative:page;mso-height-relative:page" filled="f" stroked="f">
          <v:textbox style="mso-fit-shape-to-text:t" inset="0,0,0,0">
            <w:txbxContent>
              <w:p w:rsidR="00506D25" w:rsidRDefault="00506D25">
                <w:pPr>
                  <w:pStyle w:val="a7"/>
                  <w:jc w:val="both"/>
                </w:pPr>
              </w:p>
              <w:p w:rsidR="00506D25" w:rsidRDefault="00506D25"/>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3D33A2">
    <w:pPr>
      <w:pStyle w:val="a7"/>
      <w:framePr w:wrap="around" w:vAnchor="text" w:hAnchor="margin" w:xAlign="outside" w:y="1"/>
      <w:rPr>
        <w:rStyle w:val="a9"/>
      </w:rPr>
    </w:pPr>
    <w:r>
      <w:fldChar w:fldCharType="begin"/>
    </w:r>
    <w:r>
      <w:rPr>
        <w:rStyle w:val="a9"/>
      </w:rPr>
      <w:instrText xml:space="preserve">PAGE  </w:instrText>
    </w:r>
    <w:r>
      <w:fldChar w:fldCharType="end"/>
    </w:r>
  </w:p>
  <w:p w:rsidR="00506D25" w:rsidRDefault="00506D2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A2" w:rsidRDefault="003D33A2">
      <w:r>
        <w:separator/>
      </w:r>
    </w:p>
  </w:footnote>
  <w:footnote w:type="continuationSeparator" w:id="0">
    <w:p w:rsidR="003D33A2" w:rsidRDefault="003D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506D25">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506D25">
    <w:pPr>
      <w:pStyle w:val="a8"/>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506D25">
    <w:pPr>
      <w:pStyle w:val="a8"/>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506D25">
    <w:pPr>
      <w:pStyle w:val="a8"/>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D25" w:rsidRDefault="00506D2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E3235"/>
    <w:multiLevelType w:val="singleLevel"/>
    <w:tmpl w:val="AFDE3235"/>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displayHorizontalDrawingGridEvery w:val="0"/>
  <w:characterSpacingControl w:val="compressPunctuation"/>
  <w:savePreviewPicture/>
  <w:hdrShapeDefaults>
    <o:shapedefaults v:ext="edit" spidmax="2083" fill="f" stroke="f">
      <v:fill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8EEF91F4"/>
    <w:rsid w:val="9B7E3B61"/>
    <w:rsid w:val="B7E26983"/>
    <w:rsid w:val="BE0F376A"/>
    <w:rsid w:val="D7F7E621"/>
    <w:rsid w:val="DF759C8B"/>
    <w:rsid w:val="DFFEF0E1"/>
    <w:rsid w:val="EBBB2E85"/>
    <w:rsid w:val="EFD57A50"/>
    <w:rsid w:val="EFEF2F73"/>
    <w:rsid w:val="F6FDBAEB"/>
    <w:rsid w:val="FBEF8996"/>
    <w:rsid w:val="FFAB83FF"/>
    <w:rsid w:val="FFB79298"/>
    <w:rsid w:val="FFF7C800"/>
    <w:rsid w:val="FFFE8904"/>
    <w:rsid w:val="000068A5"/>
    <w:rsid w:val="00053DFB"/>
    <w:rsid w:val="000560A3"/>
    <w:rsid w:val="0007475D"/>
    <w:rsid w:val="000E2D13"/>
    <w:rsid w:val="000F0B94"/>
    <w:rsid w:val="00102E6F"/>
    <w:rsid w:val="00143BAA"/>
    <w:rsid w:val="0019152C"/>
    <w:rsid w:val="001B4A01"/>
    <w:rsid w:val="001E75B8"/>
    <w:rsid w:val="002077F2"/>
    <w:rsid w:val="00221FD7"/>
    <w:rsid w:val="00230413"/>
    <w:rsid w:val="00250816"/>
    <w:rsid w:val="002D2D1C"/>
    <w:rsid w:val="002E5E1B"/>
    <w:rsid w:val="002F11DA"/>
    <w:rsid w:val="00303A0D"/>
    <w:rsid w:val="00326547"/>
    <w:rsid w:val="00334EA9"/>
    <w:rsid w:val="003454CF"/>
    <w:rsid w:val="00346591"/>
    <w:rsid w:val="00386058"/>
    <w:rsid w:val="003A0B3A"/>
    <w:rsid w:val="003B4936"/>
    <w:rsid w:val="003C6685"/>
    <w:rsid w:val="003D33A2"/>
    <w:rsid w:val="0040798F"/>
    <w:rsid w:val="004231B6"/>
    <w:rsid w:val="00442D33"/>
    <w:rsid w:val="00467B65"/>
    <w:rsid w:val="00475655"/>
    <w:rsid w:val="00491749"/>
    <w:rsid w:val="00493674"/>
    <w:rsid w:val="004A739F"/>
    <w:rsid w:val="004D08EE"/>
    <w:rsid w:val="00506D25"/>
    <w:rsid w:val="0052186E"/>
    <w:rsid w:val="005264BF"/>
    <w:rsid w:val="00555740"/>
    <w:rsid w:val="005664E5"/>
    <w:rsid w:val="00573751"/>
    <w:rsid w:val="005D5D65"/>
    <w:rsid w:val="006217A2"/>
    <w:rsid w:val="00654ED0"/>
    <w:rsid w:val="00672329"/>
    <w:rsid w:val="006B359E"/>
    <w:rsid w:val="006B6740"/>
    <w:rsid w:val="006E01C3"/>
    <w:rsid w:val="00712D3A"/>
    <w:rsid w:val="007318B6"/>
    <w:rsid w:val="00757DEB"/>
    <w:rsid w:val="00781034"/>
    <w:rsid w:val="007A0114"/>
    <w:rsid w:val="007B01A3"/>
    <w:rsid w:val="00846D11"/>
    <w:rsid w:val="0085493B"/>
    <w:rsid w:val="00873B40"/>
    <w:rsid w:val="008D02F1"/>
    <w:rsid w:val="008D2481"/>
    <w:rsid w:val="008D6530"/>
    <w:rsid w:val="008F31CA"/>
    <w:rsid w:val="009232F8"/>
    <w:rsid w:val="00942266"/>
    <w:rsid w:val="0096284A"/>
    <w:rsid w:val="00963484"/>
    <w:rsid w:val="00963C4A"/>
    <w:rsid w:val="009B70BE"/>
    <w:rsid w:val="009F7972"/>
    <w:rsid w:val="00A2536F"/>
    <w:rsid w:val="00A25902"/>
    <w:rsid w:val="00A54B0D"/>
    <w:rsid w:val="00A90B7D"/>
    <w:rsid w:val="00AC3CF4"/>
    <w:rsid w:val="00AE656A"/>
    <w:rsid w:val="00B70BCD"/>
    <w:rsid w:val="00B93140"/>
    <w:rsid w:val="00B96884"/>
    <w:rsid w:val="00C50B92"/>
    <w:rsid w:val="00CE2267"/>
    <w:rsid w:val="00D173C2"/>
    <w:rsid w:val="00D5388E"/>
    <w:rsid w:val="00DB7FA1"/>
    <w:rsid w:val="00DD3CA6"/>
    <w:rsid w:val="00DD768C"/>
    <w:rsid w:val="00E01BF4"/>
    <w:rsid w:val="00E36560"/>
    <w:rsid w:val="00E93AFC"/>
    <w:rsid w:val="00EA45F5"/>
    <w:rsid w:val="00EA77DD"/>
    <w:rsid w:val="00EB76B2"/>
    <w:rsid w:val="00EC4278"/>
    <w:rsid w:val="00EC7435"/>
    <w:rsid w:val="00F13242"/>
    <w:rsid w:val="00F222B8"/>
    <w:rsid w:val="00F23CEA"/>
    <w:rsid w:val="00FC44B4"/>
    <w:rsid w:val="00FD1D98"/>
    <w:rsid w:val="00FF3762"/>
    <w:rsid w:val="0FDF8B3D"/>
    <w:rsid w:val="1FBF0DAB"/>
    <w:rsid w:val="3676F115"/>
    <w:rsid w:val="3FFFB9C8"/>
    <w:rsid w:val="4FF47AE2"/>
    <w:rsid w:val="5CFB56FB"/>
    <w:rsid w:val="5DB1E39F"/>
    <w:rsid w:val="67F92F6D"/>
    <w:rsid w:val="6FFF009F"/>
    <w:rsid w:val="76F3053C"/>
    <w:rsid w:val="77EE27DF"/>
    <w:rsid w:val="78E3F680"/>
    <w:rsid w:val="7AFE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Body Text Indent"/>
    <w:basedOn w:val="a"/>
    <w:uiPriority w:val="99"/>
    <w:qFormat/>
    <w:pPr>
      <w:spacing w:after="120"/>
      <w:ind w:leftChars="200" w:left="420"/>
    </w:pPr>
    <w:rPr>
      <w:kern w:val="0"/>
      <w:sz w:val="24"/>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4"/>
    <w:uiPriority w:val="99"/>
    <w:qFormat/>
    <w:pPr>
      <w:spacing w:after="0" w:line="360" w:lineRule="auto"/>
      <w:ind w:leftChars="0" w:left="0" w:firstLineChars="200" w:firstLine="420"/>
    </w:pPr>
    <w:rPr>
      <w:rFonts w:ascii="宋体" w:hAnsi="宋体"/>
      <w:sz w:val="20"/>
      <w:szCs w:val="20"/>
    </w:rPr>
  </w:style>
  <w:style w:type="character" w:styleId="a9">
    <w:name w:val="page number"/>
    <w:basedOn w:val="a0"/>
  </w:style>
  <w:style w:type="character" w:styleId="aa">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7" textRotate="1"/>
    <customShpInfo spid="_x0000_s2082"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788</Words>
  <Characters>4495</Characters>
  <Application>Microsoft Office Word</Application>
  <DocSecurity>0</DocSecurity>
  <Lines>37</Lines>
  <Paragraphs>10</Paragraphs>
  <ScaleCrop>false</ScaleCrop>
  <Company>tjszf</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18</cp:revision>
  <cp:lastPrinted>2023-03-14T02:39:00Z</cp:lastPrinted>
  <dcterms:created xsi:type="dcterms:W3CDTF">2016-11-27T16:08:00Z</dcterms:created>
  <dcterms:modified xsi:type="dcterms:W3CDTF">2023-03-14T08:44:00Z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